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06BD81" w14:textId="77777777" w:rsidR="008B772B" w:rsidRPr="00B22E4C" w:rsidRDefault="008B772B" w:rsidP="008B772B">
      <w:pPr>
        <w:rPr>
          <w:rFonts w:asciiTheme="minorHAnsi" w:hAnsiTheme="minorHAnsi" w:cstheme="minorHAnsi"/>
          <w:b/>
          <w:sz w:val="20"/>
          <w:szCs w:val="20"/>
        </w:rPr>
      </w:pPr>
      <w:r w:rsidRPr="00B22E4C">
        <w:rPr>
          <w:rFonts w:asciiTheme="minorHAnsi" w:hAnsiTheme="minorHAnsi" w:cstheme="minorHAnsi"/>
          <w:b/>
          <w:sz w:val="20"/>
          <w:szCs w:val="20"/>
        </w:rPr>
        <w:t xml:space="preserve">Baloxavir Marboxil (Xofluza™; </w:t>
      </w:r>
      <w:r w:rsidRPr="00B22E4C">
        <w:rPr>
          <w:rFonts w:asciiTheme="minorHAnsi" w:hAnsiTheme="minorHAnsi" w:cs="Calibri"/>
          <w:b/>
          <w:color w:val="000000" w:themeColor="text1"/>
          <w:sz w:val="20"/>
          <w:szCs w:val="20"/>
        </w:rPr>
        <w:t>Genentech USA, Inc.</w:t>
      </w:r>
      <w:r w:rsidRPr="00B22E4C">
        <w:rPr>
          <w:rFonts w:asciiTheme="minorHAnsi" w:hAnsiTheme="minorHAnsi" w:cstheme="minorHAnsi"/>
          <w:b/>
          <w:sz w:val="20"/>
          <w:szCs w:val="20"/>
        </w:rPr>
        <w:t>)</w:t>
      </w:r>
    </w:p>
    <w:p w14:paraId="57A0A400" w14:textId="77777777" w:rsidR="008B772B" w:rsidRPr="00B22E4C" w:rsidRDefault="008B772B" w:rsidP="008B772B">
      <w:pPr>
        <w:rPr>
          <w:rFonts w:asciiTheme="minorHAnsi" w:hAnsiTheme="minorHAnsi" w:cstheme="minorHAnsi"/>
          <w:b/>
          <w:sz w:val="20"/>
          <w:szCs w:val="20"/>
        </w:rPr>
      </w:pPr>
    </w:p>
    <w:p w14:paraId="48C07F4D" w14:textId="77777777" w:rsidR="008B772B" w:rsidRPr="00B22E4C" w:rsidRDefault="008B772B" w:rsidP="008B772B">
      <w:pPr>
        <w:rPr>
          <w:rFonts w:asciiTheme="minorHAnsi" w:hAnsiTheme="minorHAnsi" w:cstheme="minorHAnsi"/>
          <w:b/>
          <w:sz w:val="20"/>
          <w:szCs w:val="20"/>
        </w:rPr>
      </w:pPr>
      <w:r w:rsidRPr="00B22E4C">
        <w:rPr>
          <w:rFonts w:asciiTheme="minorHAnsi" w:hAnsiTheme="minorHAnsi" w:cstheme="minorHAnsi"/>
          <w:b/>
          <w:sz w:val="20"/>
          <w:szCs w:val="20"/>
        </w:rPr>
        <w:t>Description</w:t>
      </w:r>
    </w:p>
    <w:p w14:paraId="1BE07BA6" w14:textId="77777777" w:rsidR="00FA0252" w:rsidRPr="00B22E4C" w:rsidRDefault="00AC4F39" w:rsidP="00637D2B">
      <w:pPr>
        <w:rPr>
          <w:rFonts w:asciiTheme="minorHAnsi" w:hAnsiTheme="minorHAnsi" w:cstheme="minorHAnsi"/>
          <w:sz w:val="20"/>
          <w:szCs w:val="20"/>
        </w:rPr>
      </w:pPr>
      <w:r w:rsidRPr="00B22E4C">
        <w:rPr>
          <w:rFonts w:asciiTheme="minorHAnsi" w:hAnsiTheme="minorHAnsi" w:cstheme="minorHAnsi"/>
          <w:sz w:val="20"/>
          <w:szCs w:val="20"/>
        </w:rPr>
        <w:t xml:space="preserve">Baloxavir is a polymerase acidic (PA) endonuclease inhibitor with antiviral activity against </w:t>
      </w:r>
      <w:r w:rsidR="000F352C" w:rsidRPr="00B22E4C">
        <w:rPr>
          <w:rFonts w:asciiTheme="minorHAnsi" w:hAnsiTheme="minorHAnsi" w:cstheme="minorHAnsi"/>
          <w:sz w:val="20"/>
          <w:szCs w:val="20"/>
        </w:rPr>
        <w:t>influenza virus</w:t>
      </w:r>
      <w:r w:rsidR="00EF2AE4" w:rsidRPr="00B22E4C">
        <w:rPr>
          <w:rFonts w:asciiTheme="minorHAnsi" w:hAnsiTheme="minorHAnsi" w:cstheme="minorHAnsi"/>
          <w:sz w:val="20"/>
          <w:szCs w:val="20"/>
        </w:rPr>
        <w:t xml:space="preserve"> A and B</w:t>
      </w:r>
      <w:r w:rsidR="000F352C" w:rsidRPr="00B22E4C">
        <w:rPr>
          <w:rFonts w:asciiTheme="minorHAnsi" w:hAnsiTheme="minorHAnsi" w:cstheme="minorHAnsi"/>
          <w:sz w:val="20"/>
          <w:szCs w:val="20"/>
        </w:rPr>
        <w:t>.</w:t>
      </w:r>
      <w:r w:rsidR="00637D2B" w:rsidRPr="00B22E4C">
        <w:rPr>
          <w:rFonts w:asciiTheme="minorHAnsi" w:hAnsiTheme="minorHAnsi" w:cstheme="minorHAnsi"/>
          <w:sz w:val="20"/>
          <w:szCs w:val="20"/>
        </w:rPr>
        <w:t xml:space="preserve"> </w:t>
      </w:r>
      <w:r w:rsidR="00FA0252" w:rsidRPr="00B22E4C">
        <w:rPr>
          <w:rFonts w:asciiTheme="minorHAnsi" w:hAnsiTheme="minorHAnsi" w:cstheme="minorHAnsi"/>
          <w:sz w:val="20"/>
          <w:szCs w:val="20"/>
        </w:rPr>
        <w:t>Baloxavir inhibits the endonuclease activity of the polymerase acidic (PA) protein, an influenza virus-specific enzyme in the viral RNA polymerase complex required for viral gene transcription, resulting in inhibition of influenza virus replication.</w:t>
      </w:r>
    </w:p>
    <w:p w14:paraId="0DF45E82" w14:textId="77777777" w:rsidR="008B772B" w:rsidRPr="00B22E4C" w:rsidRDefault="008B772B" w:rsidP="008B772B">
      <w:pPr>
        <w:rPr>
          <w:rFonts w:asciiTheme="minorHAnsi" w:hAnsiTheme="minorHAnsi" w:cstheme="minorHAnsi"/>
          <w:sz w:val="20"/>
          <w:szCs w:val="20"/>
        </w:rPr>
      </w:pPr>
    </w:p>
    <w:p w14:paraId="72DA547A" w14:textId="77777777" w:rsidR="008B772B" w:rsidRPr="00B22E4C" w:rsidRDefault="008B772B" w:rsidP="008B772B">
      <w:pPr>
        <w:rPr>
          <w:rFonts w:asciiTheme="minorHAnsi" w:hAnsiTheme="minorHAnsi" w:cstheme="minorHAnsi"/>
          <w:b/>
          <w:sz w:val="20"/>
          <w:szCs w:val="20"/>
        </w:rPr>
      </w:pPr>
      <w:r w:rsidRPr="00B22E4C">
        <w:rPr>
          <w:rFonts w:asciiTheme="minorHAnsi" w:hAnsiTheme="minorHAnsi" w:cstheme="minorHAnsi"/>
          <w:b/>
          <w:sz w:val="20"/>
          <w:szCs w:val="20"/>
        </w:rPr>
        <w:t>Indications for Use</w:t>
      </w:r>
    </w:p>
    <w:p w14:paraId="3CE7AF73" w14:textId="77777777" w:rsidR="008B772B" w:rsidRPr="00B22E4C" w:rsidRDefault="00AC4F39" w:rsidP="008B772B">
      <w:pPr>
        <w:rPr>
          <w:rFonts w:asciiTheme="minorHAnsi" w:hAnsiTheme="minorHAnsi" w:cstheme="minorHAnsi"/>
          <w:sz w:val="20"/>
          <w:szCs w:val="20"/>
        </w:rPr>
      </w:pPr>
      <w:r w:rsidRPr="00B22E4C">
        <w:rPr>
          <w:rFonts w:asciiTheme="minorHAnsi" w:hAnsiTheme="minorHAnsi" w:cstheme="minorHAnsi"/>
          <w:sz w:val="20"/>
          <w:szCs w:val="20"/>
        </w:rPr>
        <w:t xml:space="preserve">Baloxavir is </w:t>
      </w:r>
      <w:r w:rsidR="00444CED" w:rsidRPr="00B22E4C">
        <w:rPr>
          <w:rFonts w:asciiTheme="minorHAnsi" w:hAnsiTheme="minorHAnsi" w:cstheme="minorHAnsi"/>
          <w:sz w:val="20"/>
          <w:szCs w:val="20"/>
        </w:rPr>
        <w:t xml:space="preserve">an oral, single-dose regimen that is </w:t>
      </w:r>
      <w:r w:rsidRPr="00B22E4C">
        <w:rPr>
          <w:rFonts w:asciiTheme="minorHAnsi" w:hAnsiTheme="minorHAnsi" w:cstheme="minorHAnsi"/>
          <w:sz w:val="20"/>
          <w:szCs w:val="20"/>
        </w:rPr>
        <w:t xml:space="preserve">FDA-labeled for acute uncomplicated influenza in patients 12 years of age and older who have been symptomatic for no more than 48 hours. </w:t>
      </w:r>
    </w:p>
    <w:p w14:paraId="1F42B49B" w14:textId="77777777" w:rsidR="008B772B" w:rsidRPr="00B22E4C" w:rsidRDefault="008B772B" w:rsidP="008B772B">
      <w:pPr>
        <w:rPr>
          <w:rFonts w:asciiTheme="minorHAnsi" w:hAnsiTheme="minorHAnsi" w:cstheme="minorHAnsi"/>
          <w:b/>
          <w:sz w:val="20"/>
          <w:szCs w:val="20"/>
        </w:rPr>
      </w:pPr>
    </w:p>
    <w:p w14:paraId="5D177260" w14:textId="77777777" w:rsidR="00637D2B" w:rsidRPr="00B22E4C" w:rsidRDefault="00637D2B" w:rsidP="008B772B">
      <w:pPr>
        <w:rPr>
          <w:rFonts w:asciiTheme="minorHAnsi" w:hAnsiTheme="minorHAnsi" w:cstheme="minorHAnsi"/>
          <w:b/>
          <w:sz w:val="20"/>
          <w:szCs w:val="20"/>
        </w:rPr>
      </w:pPr>
      <w:r w:rsidRPr="00B22E4C">
        <w:rPr>
          <w:rFonts w:asciiTheme="minorHAnsi" w:hAnsiTheme="minorHAnsi" w:cs="Calibri"/>
          <w:color w:val="000000" w:themeColor="text1"/>
          <w:sz w:val="20"/>
          <w:szCs w:val="20"/>
        </w:rPr>
        <w:t>Limitations of Use: The clinical benefit of antiviral drugs could be diminished due to factors such as the type of virus, emergence of resistance, or changes in viral virulence</w:t>
      </w:r>
      <w:r w:rsidR="00EF2AE4" w:rsidRPr="00B22E4C">
        <w:rPr>
          <w:rFonts w:asciiTheme="minorHAnsi" w:hAnsiTheme="minorHAnsi" w:cs="Calibri"/>
          <w:color w:val="000000" w:themeColor="text1"/>
          <w:sz w:val="20"/>
          <w:szCs w:val="20"/>
        </w:rPr>
        <w:t>.</w:t>
      </w:r>
    </w:p>
    <w:p w14:paraId="678BC56F" w14:textId="77777777" w:rsidR="00637D2B" w:rsidRPr="00B22E4C" w:rsidRDefault="00637D2B" w:rsidP="008B772B">
      <w:pPr>
        <w:rPr>
          <w:rFonts w:asciiTheme="minorHAnsi" w:hAnsiTheme="minorHAnsi" w:cstheme="minorHAnsi"/>
          <w:b/>
          <w:sz w:val="20"/>
          <w:szCs w:val="20"/>
        </w:rPr>
      </w:pPr>
    </w:p>
    <w:p w14:paraId="78221720" w14:textId="77777777" w:rsidR="008B772B" w:rsidRPr="00B22E4C" w:rsidRDefault="008B772B" w:rsidP="008B772B">
      <w:pPr>
        <w:rPr>
          <w:rFonts w:asciiTheme="minorHAnsi" w:hAnsiTheme="minorHAnsi" w:cstheme="minorHAnsi"/>
          <w:b/>
          <w:sz w:val="20"/>
          <w:szCs w:val="20"/>
        </w:rPr>
      </w:pPr>
      <w:r w:rsidRPr="00B22E4C">
        <w:rPr>
          <w:rFonts w:asciiTheme="minorHAnsi" w:hAnsiTheme="minorHAnsi" w:cstheme="minorHAnsi"/>
          <w:b/>
          <w:sz w:val="20"/>
          <w:szCs w:val="20"/>
        </w:rPr>
        <w:t>Pharmacokinetics</w:t>
      </w:r>
    </w:p>
    <w:p w14:paraId="4EDE24BB" w14:textId="77777777" w:rsidR="00AC4F39" w:rsidRPr="00B22E4C" w:rsidRDefault="00AC4F39" w:rsidP="008B772B">
      <w:pPr>
        <w:rPr>
          <w:rFonts w:asciiTheme="minorHAnsi" w:hAnsiTheme="minorHAnsi" w:cstheme="minorHAnsi"/>
          <w:sz w:val="20"/>
          <w:szCs w:val="20"/>
        </w:rPr>
      </w:pPr>
      <w:r w:rsidRPr="00B22E4C">
        <w:rPr>
          <w:rFonts w:asciiTheme="minorHAnsi" w:hAnsiTheme="minorHAnsi" w:cstheme="minorHAnsi"/>
          <w:sz w:val="20"/>
          <w:szCs w:val="20"/>
        </w:rPr>
        <w:t>Baloxavir marboxil is a prodrug that is almost completely converted to its active metabolite, baloxavir, following oral administration.</w:t>
      </w:r>
    </w:p>
    <w:p w14:paraId="3B33E862" w14:textId="77777777" w:rsidR="00AC4F39" w:rsidRPr="00B22E4C" w:rsidRDefault="00AC4F39" w:rsidP="008B772B">
      <w:pPr>
        <w:rPr>
          <w:rFonts w:asciiTheme="minorHAnsi" w:hAnsiTheme="minorHAnsi" w:cstheme="minorHAnsi"/>
          <w:sz w:val="20"/>
          <w:szCs w:val="20"/>
        </w:rPr>
      </w:pPr>
    </w:p>
    <w:p w14:paraId="5166D842" w14:textId="77777777" w:rsidR="00F7656A" w:rsidRPr="00B22E4C" w:rsidRDefault="00F7656A" w:rsidP="008B772B">
      <w:pPr>
        <w:rPr>
          <w:rFonts w:asciiTheme="minorHAnsi" w:hAnsiTheme="minorHAnsi" w:cstheme="minorHAnsi"/>
          <w:sz w:val="20"/>
          <w:szCs w:val="20"/>
        </w:rPr>
      </w:pPr>
      <w:r w:rsidRPr="00B22E4C">
        <w:rPr>
          <w:rFonts w:asciiTheme="minorHAnsi" w:hAnsiTheme="minorHAnsi" w:cstheme="minorHAnsi"/>
          <w:sz w:val="20"/>
          <w:szCs w:val="20"/>
        </w:rPr>
        <w:t>Published pharmacokinetic parameters are based on Phase 3 trials.</w:t>
      </w:r>
    </w:p>
    <w:tbl>
      <w:tblPr>
        <w:tblStyle w:val="TableGrid"/>
        <w:tblW w:w="0" w:type="auto"/>
        <w:tblLook w:val="04A0" w:firstRow="1" w:lastRow="0" w:firstColumn="1" w:lastColumn="0" w:noHBand="0" w:noVBand="1"/>
      </w:tblPr>
      <w:tblGrid>
        <w:gridCol w:w="3343"/>
        <w:gridCol w:w="3361"/>
        <w:gridCol w:w="3366"/>
      </w:tblGrid>
      <w:tr w:rsidR="00F7656A" w:rsidRPr="00B22E4C" w14:paraId="4D565188" w14:textId="77777777" w:rsidTr="00F51399">
        <w:tc>
          <w:tcPr>
            <w:tcW w:w="3596" w:type="dxa"/>
          </w:tcPr>
          <w:p w14:paraId="718341F4" w14:textId="77777777" w:rsidR="00F7656A" w:rsidRPr="00B22E4C" w:rsidRDefault="00F7656A" w:rsidP="00F51399">
            <w:pPr>
              <w:jc w:val="center"/>
              <w:rPr>
                <w:rFonts w:asciiTheme="minorHAnsi" w:hAnsiTheme="minorHAnsi" w:cstheme="minorHAnsi"/>
                <w:b/>
                <w:sz w:val="20"/>
                <w:szCs w:val="20"/>
              </w:rPr>
            </w:pPr>
            <w:r w:rsidRPr="00B22E4C">
              <w:rPr>
                <w:rFonts w:asciiTheme="minorHAnsi" w:hAnsiTheme="minorHAnsi" w:cstheme="minorHAnsi"/>
                <w:b/>
                <w:sz w:val="20"/>
                <w:szCs w:val="20"/>
              </w:rPr>
              <w:t>Doses</w:t>
            </w:r>
          </w:p>
        </w:tc>
        <w:tc>
          <w:tcPr>
            <w:tcW w:w="3597" w:type="dxa"/>
          </w:tcPr>
          <w:p w14:paraId="53860FA5" w14:textId="77777777" w:rsidR="00F7656A" w:rsidRPr="00B22E4C" w:rsidRDefault="00F7656A" w:rsidP="00F51399">
            <w:pPr>
              <w:jc w:val="center"/>
              <w:rPr>
                <w:rFonts w:asciiTheme="minorHAnsi" w:hAnsiTheme="minorHAnsi" w:cstheme="minorHAnsi"/>
                <w:b/>
                <w:sz w:val="20"/>
                <w:szCs w:val="20"/>
              </w:rPr>
            </w:pPr>
            <w:r w:rsidRPr="00B22E4C">
              <w:rPr>
                <w:rFonts w:asciiTheme="minorHAnsi" w:hAnsiTheme="minorHAnsi" w:cstheme="minorHAnsi"/>
                <w:b/>
                <w:sz w:val="20"/>
                <w:szCs w:val="20"/>
              </w:rPr>
              <w:t>Cmax</w:t>
            </w:r>
          </w:p>
        </w:tc>
        <w:tc>
          <w:tcPr>
            <w:tcW w:w="3597" w:type="dxa"/>
          </w:tcPr>
          <w:p w14:paraId="59131D42" w14:textId="77777777" w:rsidR="00F7656A" w:rsidRPr="00B22E4C" w:rsidRDefault="00F7656A" w:rsidP="00F51399">
            <w:pPr>
              <w:jc w:val="center"/>
              <w:rPr>
                <w:rFonts w:asciiTheme="minorHAnsi" w:hAnsiTheme="minorHAnsi" w:cstheme="minorHAnsi"/>
                <w:b/>
                <w:sz w:val="20"/>
                <w:szCs w:val="20"/>
              </w:rPr>
            </w:pPr>
            <w:r w:rsidRPr="00B22E4C">
              <w:rPr>
                <w:rFonts w:asciiTheme="minorHAnsi" w:hAnsiTheme="minorHAnsi" w:cstheme="minorHAnsi"/>
                <w:b/>
                <w:sz w:val="20"/>
                <w:szCs w:val="20"/>
              </w:rPr>
              <w:t>AUC</w:t>
            </w:r>
            <w:r w:rsidRPr="00B22E4C">
              <w:rPr>
                <w:rFonts w:asciiTheme="minorHAnsi" w:hAnsiTheme="minorHAnsi" w:cstheme="minorHAnsi"/>
                <w:b/>
                <w:sz w:val="20"/>
                <w:szCs w:val="20"/>
                <w:vertAlign w:val="subscript"/>
              </w:rPr>
              <w:t>0-inf</w:t>
            </w:r>
          </w:p>
        </w:tc>
      </w:tr>
      <w:tr w:rsidR="00F7656A" w:rsidRPr="00B22E4C" w14:paraId="08BA8419" w14:textId="77777777" w:rsidTr="00F51399">
        <w:tc>
          <w:tcPr>
            <w:tcW w:w="3596" w:type="dxa"/>
          </w:tcPr>
          <w:p w14:paraId="03829F1C" w14:textId="77777777" w:rsidR="00F7656A" w:rsidRPr="00B22E4C" w:rsidRDefault="00F7656A" w:rsidP="00F51399">
            <w:pPr>
              <w:jc w:val="center"/>
              <w:rPr>
                <w:rFonts w:asciiTheme="minorHAnsi" w:hAnsiTheme="minorHAnsi" w:cstheme="minorHAnsi"/>
                <w:sz w:val="20"/>
                <w:szCs w:val="20"/>
              </w:rPr>
            </w:pPr>
            <w:r w:rsidRPr="00B22E4C">
              <w:rPr>
                <w:rFonts w:asciiTheme="minorHAnsi" w:hAnsiTheme="minorHAnsi" w:cstheme="minorHAnsi"/>
                <w:sz w:val="20"/>
                <w:szCs w:val="20"/>
              </w:rPr>
              <w:t>40 mg</w:t>
            </w:r>
          </w:p>
        </w:tc>
        <w:tc>
          <w:tcPr>
            <w:tcW w:w="3597" w:type="dxa"/>
          </w:tcPr>
          <w:p w14:paraId="451E9A56" w14:textId="77777777" w:rsidR="00F7656A" w:rsidRPr="00B22E4C" w:rsidRDefault="00F7656A" w:rsidP="00F51399">
            <w:pPr>
              <w:jc w:val="center"/>
              <w:rPr>
                <w:rFonts w:asciiTheme="minorHAnsi" w:hAnsiTheme="minorHAnsi" w:cstheme="minorHAnsi"/>
                <w:sz w:val="20"/>
                <w:szCs w:val="20"/>
                <w:vertAlign w:val="superscript"/>
              </w:rPr>
            </w:pPr>
            <w:r w:rsidRPr="00B22E4C">
              <w:rPr>
                <w:rFonts w:asciiTheme="minorHAnsi" w:hAnsiTheme="minorHAnsi" w:cstheme="minorHAnsi"/>
                <w:sz w:val="20"/>
                <w:szCs w:val="20"/>
              </w:rPr>
              <w:t>96.4 ng/mL (45.9%)</w:t>
            </w:r>
            <w:r w:rsidRPr="00B22E4C">
              <w:rPr>
                <w:rFonts w:asciiTheme="minorHAnsi" w:hAnsiTheme="minorHAnsi" w:cstheme="minorHAnsi"/>
                <w:sz w:val="20"/>
                <w:szCs w:val="20"/>
                <w:vertAlign w:val="superscript"/>
              </w:rPr>
              <w:t>a</w:t>
            </w:r>
          </w:p>
        </w:tc>
        <w:tc>
          <w:tcPr>
            <w:tcW w:w="3597" w:type="dxa"/>
          </w:tcPr>
          <w:p w14:paraId="4213B2AE" w14:textId="77777777" w:rsidR="00F7656A" w:rsidRPr="00B22E4C" w:rsidRDefault="00F7656A" w:rsidP="00F7656A">
            <w:pPr>
              <w:jc w:val="center"/>
              <w:rPr>
                <w:rFonts w:asciiTheme="minorHAnsi" w:hAnsiTheme="minorHAnsi" w:cstheme="minorHAnsi"/>
                <w:sz w:val="20"/>
                <w:szCs w:val="20"/>
              </w:rPr>
            </w:pPr>
            <w:r w:rsidRPr="00B22E4C">
              <w:rPr>
                <w:rFonts w:asciiTheme="minorHAnsi" w:hAnsiTheme="minorHAnsi" w:cstheme="minorHAnsi"/>
                <w:sz w:val="20"/>
                <w:szCs w:val="20"/>
              </w:rPr>
              <w:t>6160 ng</w:t>
            </w:r>
            <m:oMath>
              <m:r>
                <w:rPr>
                  <w:rFonts w:ascii="Cambria Math" w:hAnsi="Cambria Math" w:cstheme="minorHAnsi"/>
                  <w:sz w:val="20"/>
                  <w:szCs w:val="20"/>
                </w:rPr>
                <m:t>∙</m:t>
              </m:r>
            </m:oMath>
            <w:r w:rsidRPr="00B22E4C">
              <w:rPr>
                <w:rFonts w:asciiTheme="minorHAnsi" w:hAnsiTheme="minorHAnsi" w:cstheme="minorHAnsi"/>
                <w:sz w:val="20"/>
                <w:szCs w:val="20"/>
              </w:rPr>
              <w:t>hr/mL (39.2%)</w:t>
            </w:r>
            <w:r w:rsidRPr="00B22E4C">
              <w:rPr>
                <w:rFonts w:asciiTheme="minorHAnsi" w:hAnsiTheme="minorHAnsi" w:cstheme="minorHAnsi"/>
                <w:sz w:val="20"/>
                <w:szCs w:val="20"/>
                <w:vertAlign w:val="superscript"/>
              </w:rPr>
              <w:t xml:space="preserve"> a</w:t>
            </w:r>
          </w:p>
        </w:tc>
      </w:tr>
      <w:tr w:rsidR="00F7656A" w:rsidRPr="00B22E4C" w14:paraId="669B02F4" w14:textId="77777777" w:rsidTr="00F51399">
        <w:tc>
          <w:tcPr>
            <w:tcW w:w="3596" w:type="dxa"/>
          </w:tcPr>
          <w:p w14:paraId="766A601C" w14:textId="77777777" w:rsidR="00F7656A" w:rsidRPr="00B22E4C" w:rsidRDefault="00F7656A" w:rsidP="00F51399">
            <w:pPr>
              <w:jc w:val="center"/>
              <w:rPr>
                <w:rFonts w:asciiTheme="minorHAnsi" w:hAnsiTheme="minorHAnsi" w:cstheme="minorHAnsi"/>
                <w:sz w:val="20"/>
                <w:szCs w:val="20"/>
              </w:rPr>
            </w:pPr>
            <w:r w:rsidRPr="00B22E4C">
              <w:rPr>
                <w:rFonts w:asciiTheme="minorHAnsi" w:hAnsiTheme="minorHAnsi" w:cstheme="minorHAnsi"/>
                <w:sz w:val="20"/>
                <w:szCs w:val="20"/>
              </w:rPr>
              <w:t>80 mg</w:t>
            </w:r>
          </w:p>
        </w:tc>
        <w:tc>
          <w:tcPr>
            <w:tcW w:w="3597" w:type="dxa"/>
          </w:tcPr>
          <w:p w14:paraId="69F618BE" w14:textId="77777777" w:rsidR="00F7656A" w:rsidRPr="00B22E4C" w:rsidRDefault="00F7656A" w:rsidP="00F7656A">
            <w:pPr>
              <w:jc w:val="center"/>
              <w:rPr>
                <w:rFonts w:asciiTheme="minorHAnsi" w:hAnsiTheme="minorHAnsi" w:cstheme="minorHAnsi"/>
                <w:sz w:val="20"/>
                <w:szCs w:val="20"/>
              </w:rPr>
            </w:pPr>
            <w:r w:rsidRPr="00B22E4C">
              <w:rPr>
                <w:rFonts w:asciiTheme="minorHAnsi" w:hAnsiTheme="minorHAnsi" w:cstheme="minorHAnsi"/>
                <w:sz w:val="20"/>
                <w:szCs w:val="20"/>
              </w:rPr>
              <w:t>107 ng/mL (47.2%)</w:t>
            </w:r>
            <w:r w:rsidRPr="00B22E4C">
              <w:rPr>
                <w:rFonts w:asciiTheme="minorHAnsi" w:hAnsiTheme="minorHAnsi" w:cstheme="minorHAnsi"/>
                <w:sz w:val="20"/>
                <w:szCs w:val="20"/>
                <w:vertAlign w:val="superscript"/>
              </w:rPr>
              <w:t xml:space="preserve"> a</w:t>
            </w:r>
          </w:p>
        </w:tc>
        <w:tc>
          <w:tcPr>
            <w:tcW w:w="3597" w:type="dxa"/>
          </w:tcPr>
          <w:p w14:paraId="2120138E" w14:textId="77777777" w:rsidR="00F7656A" w:rsidRPr="00B22E4C" w:rsidRDefault="00F7656A" w:rsidP="00F51399">
            <w:pPr>
              <w:jc w:val="center"/>
              <w:rPr>
                <w:rFonts w:asciiTheme="minorHAnsi" w:hAnsiTheme="minorHAnsi" w:cstheme="minorHAnsi"/>
                <w:sz w:val="20"/>
                <w:szCs w:val="20"/>
              </w:rPr>
            </w:pPr>
            <w:r w:rsidRPr="00B22E4C">
              <w:rPr>
                <w:rFonts w:asciiTheme="minorHAnsi" w:hAnsiTheme="minorHAnsi" w:cstheme="minorHAnsi"/>
                <w:sz w:val="20"/>
                <w:szCs w:val="20"/>
              </w:rPr>
              <w:t>8009 ng·hr/mL (42.4%)</w:t>
            </w:r>
            <w:r w:rsidRPr="00B22E4C">
              <w:rPr>
                <w:rFonts w:asciiTheme="minorHAnsi" w:hAnsiTheme="minorHAnsi" w:cstheme="minorHAnsi"/>
                <w:sz w:val="20"/>
                <w:szCs w:val="20"/>
                <w:vertAlign w:val="superscript"/>
              </w:rPr>
              <w:t xml:space="preserve"> a</w:t>
            </w:r>
          </w:p>
        </w:tc>
      </w:tr>
    </w:tbl>
    <w:p w14:paraId="63CD38B5" w14:textId="77777777" w:rsidR="00F7656A" w:rsidRPr="00B22E4C" w:rsidRDefault="00F7656A" w:rsidP="00F7656A">
      <w:pPr>
        <w:rPr>
          <w:rFonts w:asciiTheme="minorHAnsi" w:hAnsiTheme="minorHAnsi" w:cstheme="minorHAnsi"/>
          <w:sz w:val="16"/>
          <w:szCs w:val="20"/>
        </w:rPr>
      </w:pPr>
      <w:r w:rsidRPr="00B22E4C">
        <w:rPr>
          <w:rFonts w:asciiTheme="minorHAnsi" w:hAnsiTheme="minorHAnsi" w:cstheme="minorHAnsi"/>
          <w:sz w:val="16"/>
          <w:szCs w:val="20"/>
          <w:vertAlign w:val="superscript"/>
        </w:rPr>
        <w:t>a</w:t>
      </w:r>
      <w:r w:rsidRPr="00B22E4C">
        <w:rPr>
          <w:rFonts w:asciiTheme="minorHAnsi" w:hAnsiTheme="minorHAnsi" w:cstheme="minorHAnsi"/>
          <w:sz w:val="16"/>
          <w:szCs w:val="20"/>
        </w:rPr>
        <w:t>Geometric mean (geometric CV%)</w:t>
      </w:r>
    </w:p>
    <w:p w14:paraId="53057170" w14:textId="77777777" w:rsidR="00F7656A" w:rsidRPr="00B22E4C" w:rsidRDefault="00F7656A" w:rsidP="008B772B">
      <w:pPr>
        <w:rPr>
          <w:rFonts w:asciiTheme="minorHAnsi" w:hAnsiTheme="minorHAnsi" w:cstheme="minorHAnsi"/>
          <w:sz w:val="20"/>
          <w:szCs w:val="20"/>
        </w:rPr>
      </w:pPr>
    </w:p>
    <w:p w14:paraId="12DDAEEE" w14:textId="77777777" w:rsidR="00F82BF6" w:rsidRPr="00B22E4C" w:rsidRDefault="00F82BF6" w:rsidP="009F59DC">
      <w:pPr>
        <w:rPr>
          <w:rFonts w:asciiTheme="minorHAnsi" w:hAnsiTheme="minorHAnsi" w:cstheme="minorHAnsi"/>
          <w:sz w:val="20"/>
          <w:szCs w:val="20"/>
        </w:rPr>
      </w:pPr>
      <w:r w:rsidRPr="00B22E4C">
        <w:rPr>
          <w:rFonts w:asciiTheme="minorHAnsi" w:hAnsiTheme="minorHAnsi" w:cstheme="minorHAnsi"/>
          <w:sz w:val="20"/>
          <w:szCs w:val="20"/>
        </w:rPr>
        <w:t>Absorption</w:t>
      </w:r>
    </w:p>
    <w:p w14:paraId="5D8CA0BF" w14:textId="77777777" w:rsidR="00992C84" w:rsidRPr="00B22E4C" w:rsidRDefault="00637D2B" w:rsidP="009F59DC">
      <w:pPr>
        <w:pStyle w:val="ListParagraph"/>
        <w:numPr>
          <w:ilvl w:val="0"/>
          <w:numId w:val="31"/>
        </w:numPr>
        <w:spacing w:after="0" w:line="240" w:lineRule="auto"/>
        <w:rPr>
          <w:rFonts w:cstheme="minorHAnsi"/>
          <w:sz w:val="20"/>
          <w:szCs w:val="20"/>
        </w:rPr>
      </w:pPr>
      <w:r w:rsidRPr="00B22E4C">
        <w:rPr>
          <w:rFonts w:cstheme="minorHAnsi"/>
          <w:sz w:val="20"/>
          <w:szCs w:val="20"/>
        </w:rPr>
        <w:t>Tmax</w:t>
      </w:r>
      <w:r w:rsidR="00992C84" w:rsidRPr="00B22E4C">
        <w:rPr>
          <w:rFonts w:cstheme="minorHAnsi"/>
          <w:sz w:val="20"/>
          <w:szCs w:val="20"/>
        </w:rPr>
        <w:t>: 4 hours</w:t>
      </w:r>
    </w:p>
    <w:p w14:paraId="76FFB9BE" w14:textId="77777777" w:rsidR="00F82BF6" w:rsidRPr="00B22E4C" w:rsidRDefault="00F82BF6" w:rsidP="009F59DC">
      <w:pPr>
        <w:rPr>
          <w:rFonts w:asciiTheme="minorHAnsi" w:hAnsiTheme="minorHAnsi" w:cstheme="minorHAnsi"/>
          <w:sz w:val="20"/>
          <w:szCs w:val="20"/>
        </w:rPr>
      </w:pPr>
      <w:r w:rsidRPr="00B22E4C">
        <w:rPr>
          <w:rFonts w:asciiTheme="minorHAnsi" w:hAnsiTheme="minorHAnsi" w:cstheme="minorHAnsi"/>
          <w:sz w:val="20"/>
          <w:szCs w:val="20"/>
        </w:rPr>
        <w:t>Distribution</w:t>
      </w:r>
    </w:p>
    <w:p w14:paraId="4B859F9D" w14:textId="77777777" w:rsidR="008B772B" w:rsidRPr="00B22E4C" w:rsidRDefault="008B772B" w:rsidP="009F59DC">
      <w:pPr>
        <w:pStyle w:val="ListParagraph"/>
        <w:numPr>
          <w:ilvl w:val="0"/>
          <w:numId w:val="30"/>
        </w:numPr>
        <w:spacing w:after="0" w:line="240" w:lineRule="auto"/>
        <w:rPr>
          <w:rFonts w:cstheme="minorHAnsi"/>
          <w:sz w:val="20"/>
          <w:szCs w:val="20"/>
        </w:rPr>
      </w:pPr>
      <w:r w:rsidRPr="00B22E4C">
        <w:rPr>
          <w:rFonts w:cstheme="minorHAnsi"/>
          <w:sz w:val="20"/>
          <w:szCs w:val="20"/>
        </w:rPr>
        <w:t xml:space="preserve">Plasma protein binding:  </w:t>
      </w:r>
      <w:r w:rsidR="00402745" w:rsidRPr="00B22E4C">
        <w:rPr>
          <w:rFonts w:cstheme="minorHAnsi"/>
          <w:sz w:val="20"/>
          <w:szCs w:val="20"/>
        </w:rPr>
        <w:t>92.9-93.9%</w:t>
      </w:r>
    </w:p>
    <w:p w14:paraId="604931F6" w14:textId="77777777" w:rsidR="008B772B" w:rsidRPr="00B22E4C" w:rsidRDefault="00402745" w:rsidP="009F59DC">
      <w:pPr>
        <w:pStyle w:val="ListParagraph"/>
        <w:numPr>
          <w:ilvl w:val="0"/>
          <w:numId w:val="30"/>
        </w:numPr>
        <w:spacing w:after="0" w:line="240" w:lineRule="auto"/>
        <w:rPr>
          <w:rFonts w:cstheme="minorHAnsi"/>
          <w:sz w:val="20"/>
          <w:szCs w:val="20"/>
        </w:rPr>
      </w:pPr>
      <w:r w:rsidRPr="00B22E4C">
        <w:rPr>
          <w:rFonts w:cstheme="minorHAnsi"/>
          <w:sz w:val="20"/>
          <w:szCs w:val="20"/>
        </w:rPr>
        <w:t>Volume of Distribution:  1180</w:t>
      </w:r>
      <w:r w:rsidR="008B772B" w:rsidRPr="00B22E4C">
        <w:rPr>
          <w:rFonts w:cstheme="minorHAnsi"/>
          <w:sz w:val="20"/>
          <w:szCs w:val="20"/>
        </w:rPr>
        <w:t xml:space="preserve"> L</w:t>
      </w:r>
    </w:p>
    <w:p w14:paraId="730E81BB" w14:textId="77777777" w:rsidR="00A12495" w:rsidRPr="00B22E4C" w:rsidRDefault="00A12495" w:rsidP="009F59DC">
      <w:pPr>
        <w:rPr>
          <w:rFonts w:asciiTheme="minorHAnsi" w:hAnsiTheme="minorHAnsi" w:cstheme="minorHAnsi"/>
          <w:sz w:val="20"/>
          <w:szCs w:val="20"/>
        </w:rPr>
      </w:pPr>
      <w:r w:rsidRPr="00B22E4C">
        <w:rPr>
          <w:rFonts w:asciiTheme="minorHAnsi" w:hAnsiTheme="minorHAnsi" w:cstheme="minorHAnsi"/>
          <w:sz w:val="20"/>
          <w:szCs w:val="20"/>
        </w:rPr>
        <w:t>Elimination</w:t>
      </w:r>
    </w:p>
    <w:p w14:paraId="0E93DB32" w14:textId="77777777" w:rsidR="00A12495" w:rsidRPr="00B22E4C" w:rsidRDefault="00A12495" w:rsidP="009F59DC">
      <w:pPr>
        <w:pStyle w:val="ListParagraph"/>
        <w:numPr>
          <w:ilvl w:val="0"/>
          <w:numId w:val="29"/>
        </w:numPr>
        <w:spacing w:after="0" w:line="240" w:lineRule="auto"/>
        <w:rPr>
          <w:rFonts w:cstheme="minorHAnsi"/>
          <w:sz w:val="20"/>
          <w:szCs w:val="20"/>
        </w:rPr>
      </w:pPr>
      <w:r w:rsidRPr="00B22E4C">
        <w:rPr>
          <w:rFonts w:cstheme="minorHAnsi"/>
          <w:sz w:val="20"/>
          <w:szCs w:val="20"/>
        </w:rPr>
        <w:t>Major route of elimination: Metabolism</w:t>
      </w:r>
    </w:p>
    <w:p w14:paraId="594CD52B" w14:textId="77777777" w:rsidR="00402745" w:rsidRPr="00B22E4C" w:rsidRDefault="00A12495" w:rsidP="009F59DC">
      <w:pPr>
        <w:pStyle w:val="ListParagraph"/>
        <w:numPr>
          <w:ilvl w:val="0"/>
          <w:numId w:val="29"/>
        </w:numPr>
        <w:spacing w:after="0" w:line="240" w:lineRule="auto"/>
        <w:rPr>
          <w:rFonts w:cstheme="minorHAnsi"/>
          <w:sz w:val="20"/>
          <w:szCs w:val="20"/>
        </w:rPr>
      </w:pPr>
      <w:r w:rsidRPr="00B22E4C">
        <w:rPr>
          <w:rFonts w:cstheme="minorHAnsi"/>
          <w:sz w:val="20"/>
          <w:szCs w:val="20"/>
        </w:rPr>
        <w:t>Metabolic pathways</w:t>
      </w:r>
      <w:r w:rsidR="00402745" w:rsidRPr="00B22E4C">
        <w:rPr>
          <w:rFonts w:cstheme="minorHAnsi"/>
          <w:sz w:val="20"/>
          <w:szCs w:val="20"/>
        </w:rPr>
        <w:t>: Primarily by UGT1A3 with minor contribution from CYP3A4</w:t>
      </w:r>
    </w:p>
    <w:p w14:paraId="739AC1D0" w14:textId="77777777" w:rsidR="00A12495" w:rsidRPr="00B22E4C" w:rsidRDefault="00A12495" w:rsidP="009F59DC">
      <w:pPr>
        <w:pStyle w:val="ListParagraph"/>
        <w:numPr>
          <w:ilvl w:val="0"/>
          <w:numId w:val="29"/>
        </w:numPr>
        <w:spacing w:after="0" w:line="240" w:lineRule="auto"/>
        <w:rPr>
          <w:rFonts w:cstheme="minorHAnsi"/>
          <w:sz w:val="20"/>
          <w:szCs w:val="20"/>
        </w:rPr>
      </w:pPr>
      <w:r w:rsidRPr="00B22E4C">
        <w:rPr>
          <w:rFonts w:cstheme="minorHAnsi"/>
          <w:sz w:val="20"/>
          <w:szCs w:val="20"/>
        </w:rPr>
        <w:t>Clearance (L/hr): 10.3 L/hr</w:t>
      </w:r>
    </w:p>
    <w:p w14:paraId="130A37AF" w14:textId="77777777" w:rsidR="008B772B" w:rsidRPr="00B22E4C" w:rsidRDefault="008B772B" w:rsidP="009F59DC">
      <w:pPr>
        <w:pStyle w:val="ListParagraph"/>
        <w:numPr>
          <w:ilvl w:val="0"/>
          <w:numId w:val="29"/>
        </w:numPr>
        <w:spacing w:after="0" w:line="240" w:lineRule="auto"/>
        <w:rPr>
          <w:rFonts w:cstheme="minorHAnsi"/>
          <w:sz w:val="20"/>
          <w:szCs w:val="20"/>
        </w:rPr>
      </w:pPr>
      <w:r w:rsidRPr="00B22E4C">
        <w:rPr>
          <w:rFonts w:cstheme="minorHAnsi"/>
          <w:sz w:val="20"/>
          <w:szCs w:val="20"/>
        </w:rPr>
        <w:t xml:space="preserve">Elimination t/12:  </w:t>
      </w:r>
      <w:r w:rsidR="00402745" w:rsidRPr="00B22E4C">
        <w:rPr>
          <w:rFonts w:cstheme="minorHAnsi"/>
          <w:sz w:val="20"/>
          <w:szCs w:val="20"/>
        </w:rPr>
        <w:t>79.1 hours</w:t>
      </w:r>
    </w:p>
    <w:p w14:paraId="0A06F671" w14:textId="77777777" w:rsidR="008B772B" w:rsidRPr="00B22E4C" w:rsidRDefault="00402745" w:rsidP="009F59DC">
      <w:pPr>
        <w:pStyle w:val="ListParagraph"/>
        <w:numPr>
          <w:ilvl w:val="0"/>
          <w:numId w:val="29"/>
        </w:numPr>
        <w:spacing w:after="0" w:line="240" w:lineRule="auto"/>
        <w:rPr>
          <w:rFonts w:cstheme="minorHAnsi"/>
          <w:sz w:val="20"/>
          <w:szCs w:val="20"/>
        </w:rPr>
      </w:pPr>
      <w:r w:rsidRPr="00B22E4C">
        <w:rPr>
          <w:rFonts w:cstheme="minorHAnsi"/>
          <w:sz w:val="20"/>
          <w:szCs w:val="20"/>
        </w:rPr>
        <w:t>Excretion: Urine (14.7%); Feces (80.1%)</w:t>
      </w:r>
    </w:p>
    <w:p w14:paraId="4828F390" w14:textId="77777777" w:rsidR="001B6387" w:rsidRPr="00B22E4C" w:rsidRDefault="001B6387" w:rsidP="008B772B">
      <w:pPr>
        <w:rPr>
          <w:rFonts w:asciiTheme="minorHAnsi" w:hAnsiTheme="minorHAnsi" w:cstheme="minorHAnsi"/>
          <w:b/>
          <w:sz w:val="20"/>
          <w:szCs w:val="20"/>
        </w:rPr>
      </w:pPr>
    </w:p>
    <w:p w14:paraId="6614C316" w14:textId="77777777" w:rsidR="00637D2B" w:rsidRPr="00B22E4C" w:rsidRDefault="00637D2B" w:rsidP="008B772B">
      <w:pPr>
        <w:rPr>
          <w:rFonts w:asciiTheme="minorHAnsi" w:hAnsiTheme="minorHAnsi" w:cstheme="minorHAnsi"/>
          <w:b/>
          <w:sz w:val="20"/>
          <w:szCs w:val="20"/>
        </w:rPr>
      </w:pPr>
      <w:r w:rsidRPr="00B22E4C">
        <w:rPr>
          <w:rFonts w:asciiTheme="minorHAnsi" w:hAnsiTheme="minorHAnsi" w:cstheme="minorHAnsi"/>
          <w:b/>
          <w:sz w:val="20"/>
          <w:szCs w:val="20"/>
        </w:rPr>
        <w:t>Contraindications</w:t>
      </w:r>
    </w:p>
    <w:p w14:paraId="458D12C9" w14:textId="77777777" w:rsidR="00637D2B" w:rsidRPr="00B22E4C" w:rsidRDefault="00637D2B" w:rsidP="008B772B">
      <w:pPr>
        <w:rPr>
          <w:rFonts w:asciiTheme="minorHAnsi" w:hAnsiTheme="minorHAnsi" w:cstheme="minorHAnsi"/>
          <w:sz w:val="20"/>
          <w:szCs w:val="20"/>
        </w:rPr>
      </w:pPr>
      <w:r w:rsidRPr="00B22E4C">
        <w:rPr>
          <w:rFonts w:asciiTheme="minorHAnsi" w:hAnsiTheme="minorHAnsi" w:cstheme="minorHAnsi"/>
          <w:sz w:val="20"/>
          <w:szCs w:val="20"/>
        </w:rPr>
        <w:t>History of hypersensitivity to baloxavir or any of its ingredients</w:t>
      </w:r>
    </w:p>
    <w:p w14:paraId="50168328" w14:textId="77777777" w:rsidR="00637D2B" w:rsidRPr="00B22E4C" w:rsidRDefault="00637D2B" w:rsidP="008B772B">
      <w:pPr>
        <w:rPr>
          <w:rFonts w:asciiTheme="minorHAnsi" w:hAnsiTheme="minorHAnsi" w:cstheme="minorHAnsi"/>
          <w:b/>
          <w:sz w:val="20"/>
          <w:szCs w:val="20"/>
        </w:rPr>
      </w:pPr>
    </w:p>
    <w:p w14:paraId="0AB28314" w14:textId="77777777" w:rsidR="00637D2B" w:rsidRPr="00B22E4C" w:rsidRDefault="00637D2B" w:rsidP="008B772B">
      <w:pPr>
        <w:rPr>
          <w:rFonts w:asciiTheme="minorHAnsi" w:hAnsiTheme="minorHAnsi" w:cstheme="minorHAnsi"/>
          <w:b/>
          <w:sz w:val="20"/>
          <w:szCs w:val="20"/>
        </w:rPr>
      </w:pPr>
      <w:r w:rsidRPr="00B22E4C">
        <w:rPr>
          <w:rFonts w:asciiTheme="minorHAnsi" w:hAnsiTheme="minorHAnsi" w:cstheme="minorHAnsi"/>
          <w:b/>
          <w:sz w:val="20"/>
          <w:szCs w:val="20"/>
        </w:rPr>
        <w:t>Warnings/Precautions</w:t>
      </w:r>
    </w:p>
    <w:p w14:paraId="7D5B5F2B" w14:textId="77777777" w:rsidR="00637D2B" w:rsidRPr="00B22E4C" w:rsidRDefault="00637D2B" w:rsidP="00637D2B">
      <w:pPr>
        <w:rPr>
          <w:rFonts w:asciiTheme="minorHAnsi" w:hAnsiTheme="minorHAnsi" w:cs="Calibri"/>
          <w:color w:val="000000" w:themeColor="text1"/>
          <w:sz w:val="20"/>
          <w:szCs w:val="20"/>
        </w:rPr>
      </w:pPr>
      <w:r w:rsidRPr="00B22E4C">
        <w:rPr>
          <w:rFonts w:asciiTheme="minorHAnsi" w:hAnsiTheme="minorHAnsi" w:cs="Calibri"/>
          <w:color w:val="000000" w:themeColor="text1"/>
          <w:sz w:val="20"/>
          <w:szCs w:val="20"/>
        </w:rPr>
        <w:t>Risk of bacterial infections</w:t>
      </w:r>
    </w:p>
    <w:p w14:paraId="355EEAB6" w14:textId="77777777" w:rsidR="00637D2B" w:rsidRPr="00B22E4C" w:rsidRDefault="00637D2B" w:rsidP="00637D2B">
      <w:pPr>
        <w:pStyle w:val="ListParagraph"/>
        <w:numPr>
          <w:ilvl w:val="0"/>
          <w:numId w:val="26"/>
        </w:numPr>
        <w:spacing w:after="0" w:line="240" w:lineRule="auto"/>
        <w:rPr>
          <w:rFonts w:cs="Calibri"/>
          <w:color w:val="000000" w:themeColor="text1"/>
          <w:sz w:val="20"/>
          <w:szCs w:val="20"/>
        </w:rPr>
      </w:pPr>
      <w:r w:rsidRPr="00B22E4C">
        <w:rPr>
          <w:rFonts w:cs="Calibri"/>
          <w:color w:val="000000" w:themeColor="text1"/>
          <w:sz w:val="20"/>
          <w:szCs w:val="20"/>
        </w:rPr>
        <w:t>No evidence for the efficacy of baloxavir in any illness other than influenza</w:t>
      </w:r>
    </w:p>
    <w:p w14:paraId="155F05C9" w14:textId="77777777" w:rsidR="00637D2B" w:rsidRPr="00B22E4C" w:rsidRDefault="00637D2B" w:rsidP="00637D2B">
      <w:pPr>
        <w:pStyle w:val="ListParagraph"/>
        <w:numPr>
          <w:ilvl w:val="0"/>
          <w:numId w:val="26"/>
        </w:numPr>
        <w:spacing w:after="0" w:line="240" w:lineRule="auto"/>
        <w:rPr>
          <w:rFonts w:cs="Calibri"/>
          <w:color w:val="000000" w:themeColor="text1"/>
          <w:sz w:val="20"/>
          <w:szCs w:val="20"/>
        </w:rPr>
      </w:pPr>
      <w:r w:rsidRPr="00B22E4C">
        <w:rPr>
          <w:rFonts w:cs="Calibri"/>
          <w:color w:val="000000" w:themeColor="text1"/>
          <w:sz w:val="20"/>
          <w:szCs w:val="20"/>
        </w:rPr>
        <w:t>Serious bacterial infections can begin with influenza-like symptoms or coexist with/ occur as a complication of influenza; baloxavir has not been shown to prevent these complications</w:t>
      </w:r>
    </w:p>
    <w:p w14:paraId="796DB64D" w14:textId="77777777" w:rsidR="00637D2B" w:rsidRPr="00B22E4C" w:rsidRDefault="00637D2B" w:rsidP="00637D2B">
      <w:pPr>
        <w:pStyle w:val="ListParagraph"/>
        <w:numPr>
          <w:ilvl w:val="0"/>
          <w:numId w:val="26"/>
        </w:numPr>
        <w:spacing w:after="0" w:line="240" w:lineRule="auto"/>
        <w:rPr>
          <w:rFonts w:cs="Calibri"/>
          <w:color w:val="000000" w:themeColor="text1"/>
          <w:sz w:val="20"/>
          <w:szCs w:val="20"/>
        </w:rPr>
      </w:pPr>
      <w:r w:rsidRPr="00B22E4C">
        <w:rPr>
          <w:rFonts w:cs="Calibri"/>
          <w:color w:val="000000" w:themeColor="text1"/>
          <w:sz w:val="20"/>
          <w:szCs w:val="20"/>
        </w:rPr>
        <w:t>Prescribers should be alert to possible secondary bacterial infections and treat appropriately</w:t>
      </w:r>
    </w:p>
    <w:p w14:paraId="00F7905A" w14:textId="77777777" w:rsidR="00637D2B" w:rsidRPr="00B22E4C" w:rsidRDefault="00637D2B" w:rsidP="008B772B">
      <w:pPr>
        <w:rPr>
          <w:rFonts w:asciiTheme="minorHAnsi" w:hAnsiTheme="minorHAnsi" w:cstheme="minorHAnsi"/>
          <w:b/>
          <w:sz w:val="20"/>
          <w:szCs w:val="20"/>
        </w:rPr>
      </w:pPr>
    </w:p>
    <w:p w14:paraId="34698139" w14:textId="77777777" w:rsidR="008B772B" w:rsidRPr="00B22E4C" w:rsidRDefault="008B772B" w:rsidP="008B772B">
      <w:pPr>
        <w:rPr>
          <w:rFonts w:asciiTheme="minorHAnsi" w:hAnsiTheme="minorHAnsi" w:cstheme="minorHAnsi"/>
          <w:sz w:val="20"/>
          <w:szCs w:val="20"/>
          <w:vertAlign w:val="superscript"/>
        </w:rPr>
      </w:pPr>
      <w:r w:rsidRPr="00B22E4C">
        <w:rPr>
          <w:rFonts w:asciiTheme="minorHAnsi" w:hAnsiTheme="minorHAnsi" w:cstheme="minorHAnsi"/>
          <w:b/>
          <w:sz w:val="20"/>
          <w:szCs w:val="20"/>
        </w:rPr>
        <w:t>Adverse Reactions</w:t>
      </w:r>
    </w:p>
    <w:p w14:paraId="4E8F27D9" w14:textId="77777777" w:rsidR="008B772B" w:rsidRPr="00B22E4C" w:rsidRDefault="008B772B" w:rsidP="008B772B">
      <w:pPr>
        <w:rPr>
          <w:rFonts w:asciiTheme="minorHAnsi" w:hAnsiTheme="minorHAnsi" w:cstheme="minorHAnsi"/>
          <w:sz w:val="20"/>
          <w:szCs w:val="20"/>
        </w:rPr>
      </w:pPr>
      <w:r w:rsidRPr="00B22E4C">
        <w:rPr>
          <w:rFonts w:asciiTheme="minorHAnsi" w:hAnsiTheme="minorHAnsi" w:cstheme="minorHAnsi"/>
          <w:sz w:val="20"/>
          <w:szCs w:val="20"/>
        </w:rPr>
        <w:t>The most common adverse reaction is diarrhea</w:t>
      </w:r>
      <w:r w:rsidR="00200B80" w:rsidRPr="00B22E4C">
        <w:rPr>
          <w:rFonts w:asciiTheme="minorHAnsi" w:hAnsiTheme="minorHAnsi" w:cstheme="minorHAnsi"/>
          <w:sz w:val="20"/>
          <w:szCs w:val="20"/>
        </w:rPr>
        <w:t xml:space="preserve"> (~3</w:t>
      </w:r>
      <w:r w:rsidRPr="00B22E4C">
        <w:rPr>
          <w:rFonts w:asciiTheme="minorHAnsi" w:hAnsiTheme="minorHAnsi" w:cstheme="minorHAnsi"/>
          <w:sz w:val="20"/>
          <w:szCs w:val="20"/>
        </w:rPr>
        <w:t xml:space="preserve">%).  Other adverse events reported </w:t>
      </w:r>
      <w:r w:rsidR="0069418A" w:rsidRPr="00B22E4C">
        <w:rPr>
          <w:rFonts w:asciiTheme="minorHAnsi" w:hAnsiTheme="minorHAnsi" w:cstheme="minorHAnsi"/>
          <w:sz w:val="20"/>
          <w:szCs w:val="20"/>
        </w:rPr>
        <w:t>in at least 1% of adult and adolescent subjects</w:t>
      </w:r>
      <w:r w:rsidRPr="00B22E4C">
        <w:rPr>
          <w:rFonts w:asciiTheme="minorHAnsi" w:hAnsiTheme="minorHAnsi" w:cstheme="minorHAnsi"/>
          <w:sz w:val="20"/>
          <w:szCs w:val="20"/>
        </w:rPr>
        <w:t xml:space="preserve"> include</w:t>
      </w:r>
      <w:r w:rsidR="0069418A" w:rsidRPr="00B22E4C">
        <w:rPr>
          <w:rFonts w:asciiTheme="minorHAnsi" w:hAnsiTheme="minorHAnsi" w:cstheme="minorHAnsi"/>
          <w:sz w:val="20"/>
          <w:szCs w:val="20"/>
        </w:rPr>
        <w:t>d</w:t>
      </w:r>
      <w:r w:rsidRPr="00B22E4C">
        <w:rPr>
          <w:rFonts w:asciiTheme="minorHAnsi" w:hAnsiTheme="minorHAnsi" w:cstheme="minorHAnsi"/>
          <w:sz w:val="20"/>
          <w:szCs w:val="20"/>
        </w:rPr>
        <w:t xml:space="preserve">:  </w:t>
      </w:r>
      <w:r w:rsidR="00200B80" w:rsidRPr="00B22E4C">
        <w:rPr>
          <w:rFonts w:asciiTheme="minorHAnsi" w:hAnsiTheme="minorHAnsi" w:cstheme="minorHAnsi"/>
          <w:sz w:val="20"/>
          <w:szCs w:val="20"/>
        </w:rPr>
        <w:t xml:space="preserve">bronchitis (2%), </w:t>
      </w:r>
      <w:r w:rsidR="0069418A" w:rsidRPr="00B22E4C">
        <w:rPr>
          <w:rFonts w:asciiTheme="minorHAnsi" w:hAnsiTheme="minorHAnsi" w:cstheme="minorHAnsi"/>
          <w:sz w:val="20"/>
          <w:szCs w:val="20"/>
        </w:rPr>
        <w:t xml:space="preserve">nasopharyngitis (1%), </w:t>
      </w:r>
      <w:r w:rsidR="00200B80" w:rsidRPr="00B22E4C">
        <w:rPr>
          <w:rFonts w:asciiTheme="minorHAnsi" w:hAnsiTheme="minorHAnsi" w:cstheme="minorHAnsi"/>
          <w:sz w:val="20"/>
          <w:szCs w:val="20"/>
        </w:rPr>
        <w:t>headache (1%), and nausea (1%).</w:t>
      </w:r>
    </w:p>
    <w:p w14:paraId="64F88164" w14:textId="77777777" w:rsidR="00200B80" w:rsidRPr="00B22E4C" w:rsidRDefault="00200B80" w:rsidP="008B772B">
      <w:pPr>
        <w:rPr>
          <w:rFonts w:asciiTheme="minorHAnsi" w:hAnsiTheme="minorHAnsi" w:cstheme="minorHAnsi"/>
          <w:sz w:val="20"/>
          <w:szCs w:val="20"/>
        </w:rPr>
      </w:pPr>
    </w:p>
    <w:p w14:paraId="11444F02" w14:textId="77777777" w:rsidR="00DD3CAB" w:rsidRDefault="00DD3CAB" w:rsidP="008B772B">
      <w:pPr>
        <w:rPr>
          <w:rFonts w:asciiTheme="minorHAnsi" w:hAnsiTheme="minorHAnsi" w:cstheme="minorHAnsi"/>
          <w:b/>
          <w:sz w:val="20"/>
          <w:szCs w:val="20"/>
        </w:rPr>
      </w:pPr>
    </w:p>
    <w:p w14:paraId="4C6650AE" w14:textId="77777777" w:rsidR="00DD3CAB" w:rsidRDefault="00DD3CAB" w:rsidP="008B772B">
      <w:pPr>
        <w:rPr>
          <w:rFonts w:asciiTheme="minorHAnsi" w:hAnsiTheme="minorHAnsi" w:cstheme="minorHAnsi"/>
          <w:b/>
          <w:sz w:val="20"/>
          <w:szCs w:val="20"/>
        </w:rPr>
      </w:pPr>
    </w:p>
    <w:p w14:paraId="0E0CE281" w14:textId="0497BE25" w:rsidR="008B772B" w:rsidRPr="0055125C" w:rsidRDefault="00DD3CAB" w:rsidP="008B772B">
      <w:pPr>
        <w:rPr>
          <w:rFonts w:asciiTheme="minorHAnsi" w:hAnsiTheme="minorHAnsi" w:cstheme="minorHAnsi"/>
          <w:sz w:val="20"/>
          <w:szCs w:val="20"/>
          <w:vertAlign w:val="superscript"/>
        </w:rPr>
      </w:pPr>
      <w:r>
        <w:rPr>
          <w:rFonts w:asciiTheme="minorHAnsi" w:hAnsiTheme="minorHAnsi" w:cstheme="minorHAnsi"/>
          <w:b/>
          <w:sz w:val="20"/>
          <w:szCs w:val="20"/>
        </w:rPr>
        <w:lastRenderedPageBreak/>
        <w:t>D</w:t>
      </w:r>
      <w:r w:rsidR="008B772B" w:rsidRPr="0055125C">
        <w:rPr>
          <w:rFonts w:asciiTheme="minorHAnsi" w:hAnsiTheme="minorHAnsi" w:cstheme="minorHAnsi"/>
          <w:b/>
          <w:sz w:val="20"/>
          <w:szCs w:val="20"/>
        </w:rPr>
        <w:t>rug Interactions</w:t>
      </w:r>
    </w:p>
    <w:p w14:paraId="078E6B07" w14:textId="77777777" w:rsidR="0055125C" w:rsidRPr="0055125C" w:rsidRDefault="00200B80" w:rsidP="00200B80">
      <w:pPr>
        <w:pStyle w:val="ListParagraph"/>
        <w:numPr>
          <w:ilvl w:val="0"/>
          <w:numId w:val="12"/>
        </w:numPr>
        <w:spacing w:after="0" w:line="240" w:lineRule="auto"/>
        <w:rPr>
          <w:rFonts w:cs="Calibri"/>
          <w:sz w:val="20"/>
          <w:szCs w:val="20"/>
        </w:rPr>
      </w:pPr>
      <w:r w:rsidRPr="0055125C">
        <w:rPr>
          <w:rFonts w:cs="Calibri"/>
          <w:sz w:val="20"/>
          <w:szCs w:val="20"/>
        </w:rPr>
        <w:t>Polyvalent cation-containing products: Co-administration with baloxavir may decrease plasma concentrations and reduce efficacy of baloxavir. Avoid co-administration of baloxavir with polyvalent cation containing antacids, laxatives, or oral supplements (e.g., calcium, iron, magnesium, selenium, or zinc).</w:t>
      </w:r>
      <w:r w:rsidR="002B2A4E" w:rsidRPr="0055125C">
        <w:rPr>
          <w:rFonts w:cs="Calibri"/>
          <w:sz w:val="20"/>
          <w:szCs w:val="20"/>
        </w:rPr>
        <w:t xml:space="preserve"> </w:t>
      </w:r>
    </w:p>
    <w:p w14:paraId="5EA243C3" w14:textId="77777777" w:rsidR="008B772B" w:rsidRPr="0055125C" w:rsidRDefault="00200B80" w:rsidP="00200B80">
      <w:pPr>
        <w:pStyle w:val="ListParagraph"/>
        <w:numPr>
          <w:ilvl w:val="0"/>
          <w:numId w:val="12"/>
        </w:numPr>
        <w:rPr>
          <w:rFonts w:cstheme="minorHAnsi"/>
          <w:sz w:val="20"/>
          <w:szCs w:val="20"/>
        </w:rPr>
      </w:pPr>
      <w:r w:rsidRPr="0055125C">
        <w:rPr>
          <w:rFonts w:cs="Calibri"/>
          <w:sz w:val="20"/>
          <w:szCs w:val="20"/>
        </w:rPr>
        <w:t>Live attenuated influenza vaccine (LAIV): Concurrent use with baloxavir has not been evaluated. However, concurrent administration with antiviral medications may inhibit viral replication of LAIV and therefore decrease effectiveness of vaccination.</w:t>
      </w:r>
    </w:p>
    <w:p w14:paraId="120E6A6E" w14:textId="77777777" w:rsidR="00CF79D9" w:rsidRPr="00B22E4C" w:rsidRDefault="008B772B" w:rsidP="008B772B">
      <w:pPr>
        <w:rPr>
          <w:rFonts w:asciiTheme="minorHAnsi" w:hAnsiTheme="minorHAnsi" w:cstheme="minorHAnsi"/>
          <w:b/>
          <w:sz w:val="20"/>
          <w:szCs w:val="20"/>
        </w:rPr>
      </w:pPr>
      <w:r w:rsidRPr="00B22E4C">
        <w:rPr>
          <w:rFonts w:asciiTheme="minorHAnsi" w:hAnsiTheme="minorHAnsi" w:cstheme="minorHAnsi"/>
          <w:b/>
          <w:sz w:val="20"/>
          <w:szCs w:val="20"/>
        </w:rPr>
        <w:t>Medication Safety</w:t>
      </w:r>
    </w:p>
    <w:tbl>
      <w:tblPr>
        <w:tblStyle w:val="TableGrid1"/>
        <w:tblW w:w="10008" w:type="dxa"/>
        <w:tblLook w:val="04A0" w:firstRow="1" w:lastRow="0" w:firstColumn="1" w:lastColumn="0" w:noHBand="0" w:noVBand="1"/>
      </w:tblPr>
      <w:tblGrid>
        <w:gridCol w:w="3258"/>
        <w:gridCol w:w="6750"/>
      </w:tblGrid>
      <w:tr w:rsidR="008B772B" w:rsidRPr="00B22E4C" w14:paraId="566A5E06" w14:textId="77777777" w:rsidTr="003D1AE1">
        <w:tc>
          <w:tcPr>
            <w:tcW w:w="3258" w:type="dxa"/>
          </w:tcPr>
          <w:p w14:paraId="4E15C897" w14:textId="77777777" w:rsidR="008B772B" w:rsidRPr="00B22E4C" w:rsidRDefault="008B772B" w:rsidP="003D1AE1">
            <w:pPr>
              <w:rPr>
                <w:rFonts w:asciiTheme="minorHAnsi" w:hAnsiTheme="minorHAnsi" w:cstheme="minorHAnsi"/>
                <w:b/>
                <w:sz w:val="20"/>
                <w:szCs w:val="20"/>
              </w:rPr>
            </w:pPr>
            <w:r w:rsidRPr="00B22E4C">
              <w:rPr>
                <w:rFonts w:asciiTheme="minorHAnsi" w:hAnsiTheme="minorHAnsi" w:cstheme="minorHAnsi"/>
                <w:b/>
                <w:sz w:val="20"/>
                <w:szCs w:val="20"/>
              </w:rPr>
              <w:t>REMS (Risk Evaluation Mitigation Strategy) Requirement</w:t>
            </w:r>
          </w:p>
        </w:tc>
        <w:tc>
          <w:tcPr>
            <w:tcW w:w="6750" w:type="dxa"/>
          </w:tcPr>
          <w:p w14:paraId="34BD1F66" w14:textId="77777777" w:rsidR="008B772B" w:rsidRPr="00B22E4C" w:rsidRDefault="008B772B" w:rsidP="003D1AE1">
            <w:pPr>
              <w:rPr>
                <w:rFonts w:asciiTheme="minorHAnsi" w:hAnsiTheme="minorHAnsi" w:cstheme="minorHAnsi"/>
                <w:sz w:val="20"/>
                <w:szCs w:val="20"/>
              </w:rPr>
            </w:pPr>
            <w:r w:rsidRPr="00B22E4C">
              <w:rPr>
                <w:rFonts w:asciiTheme="minorHAnsi" w:hAnsiTheme="minorHAnsi" w:cstheme="minorHAnsi"/>
                <w:sz w:val="20"/>
                <w:szCs w:val="20"/>
              </w:rPr>
              <w:t>None</w:t>
            </w:r>
          </w:p>
        </w:tc>
      </w:tr>
      <w:tr w:rsidR="008B772B" w:rsidRPr="00B22E4C" w14:paraId="034E3BC9" w14:textId="77777777" w:rsidTr="003D1AE1">
        <w:tc>
          <w:tcPr>
            <w:tcW w:w="3258" w:type="dxa"/>
          </w:tcPr>
          <w:p w14:paraId="49A60171" w14:textId="77777777" w:rsidR="008B772B" w:rsidRPr="00B22E4C" w:rsidRDefault="008B772B" w:rsidP="003D1AE1">
            <w:pPr>
              <w:rPr>
                <w:rFonts w:asciiTheme="minorHAnsi" w:hAnsiTheme="minorHAnsi" w:cstheme="minorHAnsi"/>
                <w:b/>
                <w:sz w:val="20"/>
                <w:szCs w:val="20"/>
              </w:rPr>
            </w:pPr>
            <w:r w:rsidRPr="00B22E4C">
              <w:rPr>
                <w:rFonts w:asciiTheme="minorHAnsi" w:hAnsiTheme="minorHAnsi" w:cstheme="minorHAnsi"/>
                <w:b/>
                <w:sz w:val="20"/>
                <w:szCs w:val="20"/>
              </w:rPr>
              <w:t>Black Box Warning</w:t>
            </w:r>
          </w:p>
        </w:tc>
        <w:tc>
          <w:tcPr>
            <w:tcW w:w="6750" w:type="dxa"/>
          </w:tcPr>
          <w:p w14:paraId="00923029" w14:textId="77777777" w:rsidR="008B772B" w:rsidRPr="00B22E4C" w:rsidRDefault="0069418A" w:rsidP="003D1AE1">
            <w:pPr>
              <w:rPr>
                <w:rFonts w:asciiTheme="minorHAnsi" w:hAnsiTheme="minorHAnsi" w:cstheme="minorHAnsi"/>
                <w:sz w:val="20"/>
                <w:szCs w:val="20"/>
              </w:rPr>
            </w:pPr>
            <w:r w:rsidRPr="00B22E4C">
              <w:rPr>
                <w:rFonts w:asciiTheme="minorHAnsi" w:hAnsiTheme="minorHAnsi" w:cstheme="minorHAnsi"/>
                <w:sz w:val="20"/>
                <w:szCs w:val="20"/>
              </w:rPr>
              <w:t>N</w:t>
            </w:r>
            <w:r w:rsidR="008B772B" w:rsidRPr="00B22E4C">
              <w:rPr>
                <w:rFonts w:asciiTheme="minorHAnsi" w:hAnsiTheme="minorHAnsi" w:cstheme="minorHAnsi"/>
                <w:sz w:val="20"/>
                <w:szCs w:val="20"/>
              </w:rPr>
              <w:t>one</w:t>
            </w:r>
          </w:p>
        </w:tc>
      </w:tr>
      <w:tr w:rsidR="008B772B" w:rsidRPr="00B22E4C" w14:paraId="01306094" w14:textId="77777777" w:rsidTr="003D1AE1">
        <w:tc>
          <w:tcPr>
            <w:tcW w:w="3258" w:type="dxa"/>
          </w:tcPr>
          <w:p w14:paraId="6B584BE9" w14:textId="77777777" w:rsidR="008B772B" w:rsidRPr="00B22E4C" w:rsidRDefault="008B772B" w:rsidP="003D1AE1">
            <w:pPr>
              <w:rPr>
                <w:rFonts w:asciiTheme="minorHAnsi" w:hAnsiTheme="minorHAnsi" w:cstheme="minorHAnsi"/>
                <w:b/>
                <w:sz w:val="20"/>
                <w:szCs w:val="20"/>
              </w:rPr>
            </w:pPr>
            <w:r w:rsidRPr="00B22E4C">
              <w:rPr>
                <w:rFonts w:asciiTheme="minorHAnsi" w:hAnsiTheme="minorHAnsi" w:cstheme="minorHAnsi"/>
                <w:b/>
                <w:sz w:val="20"/>
                <w:szCs w:val="20"/>
              </w:rPr>
              <w:t>ISMP Medication Safety Concerns</w:t>
            </w:r>
          </w:p>
        </w:tc>
        <w:tc>
          <w:tcPr>
            <w:tcW w:w="6750" w:type="dxa"/>
          </w:tcPr>
          <w:p w14:paraId="35651055" w14:textId="77777777" w:rsidR="008B772B" w:rsidRPr="00B22E4C" w:rsidRDefault="008B772B" w:rsidP="003D1AE1">
            <w:pPr>
              <w:rPr>
                <w:rFonts w:asciiTheme="minorHAnsi" w:hAnsiTheme="minorHAnsi" w:cstheme="minorHAnsi"/>
                <w:sz w:val="20"/>
                <w:szCs w:val="20"/>
              </w:rPr>
            </w:pPr>
            <w:r w:rsidRPr="00B22E4C">
              <w:rPr>
                <w:rFonts w:asciiTheme="minorHAnsi" w:hAnsiTheme="minorHAnsi" w:cstheme="minorHAnsi"/>
                <w:sz w:val="20"/>
                <w:szCs w:val="20"/>
              </w:rPr>
              <w:t>None identified to date</w:t>
            </w:r>
          </w:p>
        </w:tc>
      </w:tr>
      <w:tr w:rsidR="008B772B" w:rsidRPr="00B22E4C" w14:paraId="67955807" w14:textId="77777777" w:rsidTr="003D1AE1">
        <w:tc>
          <w:tcPr>
            <w:tcW w:w="3258" w:type="dxa"/>
          </w:tcPr>
          <w:p w14:paraId="37F5BD1F" w14:textId="77777777" w:rsidR="008B772B" w:rsidRPr="00B22E4C" w:rsidRDefault="008B772B" w:rsidP="003D1AE1">
            <w:pPr>
              <w:rPr>
                <w:rFonts w:asciiTheme="minorHAnsi" w:hAnsiTheme="minorHAnsi" w:cstheme="minorHAnsi"/>
                <w:b/>
                <w:sz w:val="20"/>
                <w:szCs w:val="20"/>
              </w:rPr>
            </w:pPr>
            <w:r w:rsidRPr="00B22E4C">
              <w:rPr>
                <w:rFonts w:asciiTheme="minorHAnsi" w:hAnsiTheme="minorHAnsi" w:cstheme="minorHAnsi"/>
                <w:b/>
                <w:sz w:val="20"/>
                <w:szCs w:val="20"/>
              </w:rPr>
              <w:t>Hazardous Risk Assessment</w:t>
            </w:r>
          </w:p>
        </w:tc>
        <w:tc>
          <w:tcPr>
            <w:tcW w:w="6750" w:type="dxa"/>
          </w:tcPr>
          <w:p w14:paraId="6965204F" w14:textId="77777777" w:rsidR="008B772B" w:rsidRPr="00B22E4C" w:rsidRDefault="008B772B" w:rsidP="003D1AE1">
            <w:pPr>
              <w:rPr>
                <w:rFonts w:asciiTheme="minorHAnsi" w:hAnsiTheme="minorHAnsi" w:cstheme="minorHAnsi"/>
                <w:sz w:val="20"/>
                <w:szCs w:val="20"/>
              </w:rPr>
            </w:pPr>
            <w:r w:rsidRPr="00B22E4C">
              <w:rPr>
                <w:rFonts w:asciiTheme="minorHAnsi" w:hAnsiTheme="minorHAnsi" w:cstheme="minorHAnsi"/>
                <w:sz w:val="20"/>
                <w:szCs w:val="20"/>
              </w:rPr>
              <w:t xml:space="preserve">Not hazardous </w:t>
            </w:r>
          </w:p>
        </w:tc>
      </w:tr>
      <w:tr w:rsidR="008B772B" w:rsidRPr="00B22E4C" w14:paraId="21B6B643" w14:textId="77777777" w:rsidTr="003D1AE1">
        <w:tc>
          <w:tcPr>
            <w:tcW w:w="3258" w:type="dxa"/>
          </w:tcPr>
          <w:p w14:paraId="675F02DF" w14:textId="77777777" w:rsidR="008B772B" w:rsidRPr="00B22E4C" w:rsidRDefault="008B772B" w:rsidP="003D1AE1">
            <w:pPr>
              <w:rPr>
                <w:rFonts w:asciiTheme="minorHAnsi" w:hAnsiTheme="minorHAnsi" w:cstheme="minorHAnsi"/>
                <w:b/>
                <w:sz w:val="20"/>
                <w:szCs w:val="20"/>
              </w:rPr>
            </w:pPr>
            <w:r w:rsidRPr="00B22E4C">
              <w:rPr>
                <w:rFonts w:asciiTheme="minorHAnsi" w:hAnsiTheme="minorHAnsi" w:cstheme="minorHAnsi"/>
                <w:b/>
                <w:sz w:val="20"/>
                <w:szCs w:val="20"/>
              </w:rPr>
              <w:t>Electronic Health Record Safety Assessment</w:t>
            </w:r>
          </w:p>
        </w:tc>
        <w:tc>
          <w:tcPr>
            <w:tcW w:w="6750" w:type="dxa"/>
          </w:tcPr>
          <w:p w14:paraId="42FE084B" w14:textId="77777777" w:rsidR="008B772B" w:rsidRPr="00B22E4C" w:rsidRDefault="008B772B" w:rsidP="003D1AE1">
            <w:pPr>
              <w:rPr>
                <w:rFonts w:asciiTheme="minorHAnsi" w:hAnsiTheme="minorHAnsi" w:cstheme="minorHAnsi"/>
                <w:sz w:val="20"/>
                <w:szCs w:val="20"/>
              </w:rPr>
            </w:pPr>
            <w:r w:rsidRPr="00B22E4C">
              <w:rPr>
                <w:rFonts w:asciiTheme="minorHAnsi" w:hAnsiTheme="minorHAnsi" w:cstheme="minorHAnsi"/>
                <w:sz w:val="20"/>
                <w:szCs w:val="20"/>
              </w:rPr>
              <w:t>Inclusion of criteria for use/approval by ID.</w:t>
            </w:r>
          </w:p>
          <w:p w14:paraId="2690F293" w14:textId="77777777" w:rsidR="008B772B" w:rsidRPr="00B22E4C" w:rsidRDefault="0069418A" w:rsidP="00CF79D9">
            <w:pPr>
              <w:rPr>
                <w:rFonts w:asciiTheme="minorHAnsi" w:hAnsiTheme="minorHAnsi" w:cstheme="minorHAnsi"/>
                <w:sz w:val="20"/>
                <w:szCs w:val="20"/>
              </w:rPr>
            </w:pPr>
            <w:r w:rsidRPr="00B22E4C">
              <w:rPr>
                <w:rFonts w:asciiTheme="minorHAnsi" w:hAnsiTheme="minorHAnsi" w:cstheme="minorHAnsi"/>
                <w:sz w:val="20"/>
                <w:szCs w:val="20"/>
              </w:rPr>
              <w:t>Caut</w:t>
            </w:r>
            <w:r w:rsidR="00CF79D9" w:rsidRPr="00B22E4C">
              <w:rPr>
                <w:rFonts w:asciiTheme="minorHAnsi" w:hAnsiTheme="minorHAnsi" w:cstheme="minorHAnsi"/>
                <w:sz w:val="20"/>
                <w:szCs w:val="20"/>
              </w:rPr>
              <w:t xml:space="preserve">ion with use in CrCl &lt;50 mL/min; </w:t>
            </w:r>
            <w:r w:rsidRPr="00B22E4C">
              <w:rPr>
                <w:rFonts w:asciiTheme="minorHAnsi" w:hAnsiTheme="minorHAnsi" w:cstheme="minorHAnsi"/>
                <w:sz w:val="20"/>
                <w:szCs w:val="20"/>
              </w:rPr>
              <w:t>the effects of severe renal impairment have not been evaluated</w:t>
            </w:r>
            <w:r w:rsidR="008B772B" w:rsidRPr="00B22E4C">
              <w:rPr>
                <w:rFonts w:asciiTheme="minorHAnsi" w:hAnsiTheme="minorHAnsi" w:cstheme="minorHAnsi"/>
                <w:sz w:val="20"/>
                <w:szCs w:val="20"/>
              </w:rPr>
              <w:t xml:space="preserve"> </w:t>
            </w:r>
          </w:p>
        </w:tc>
      </w:tr>
      <w:tr w:rsidR="008B772B" w:rsidRPr="00B22E4C" w14:paraId="1E29EB1D" w14:textId="77777777" w:rsidTr="003D1AE1">
        <w:tc>
          <w:tcPr>
            <w:tcW w:w="3258" w:type="dxa"/>
          </w:tcPr>
          <w:p w14:paraId="797AFF67" w14:textId="77777777" w:rsidR="008B772B" w:rsidRPr="00B22E4C" w:rsidRDefault="008B772B" w:rsidP="003D1AE1">
            <w:pPr>
              <w:rPr>
                <w:rFonts w:asciiTheme="minorHAnsi" w:hAnsiTheme="minorHAnsi" w:cstheme="minorHAnsi"/>
                <w:b/>
                <w:sz w:val="20"/>
                <w:szCs w:val="20"/>
              </w:rPr>
            </w:pPr>
            <w:r w:rsidRPr="00B22E4C">
              <w:rPr>
                <w:rFonts w:asciiTheme="minorHAnsi" w:hAnsiTheme="minorHAnsi" w:cstheme="minorHAnsi"/>
                <w:b/>
                <w:sz w:val="20"/>
                <w:szCs w:val="20"/>
              </w:rPr>
              <w:t>Miscellaneous Safety Concerns</w:t>
            </w:r>
          </w:p>
        </w:tc>
        <w:tc>
          <w:tcPr>
            <w:tcW w:w="6750" w:type="dxa"/>
          </w:tcPr>
          <w:p w14:paraId="7EA5152A" w14:textId="77777777" w:rsidR="008B772B" w:rsidRPr="00B22E4C" w:rsidRDefault="008B772B" w:rsidP="003D1AE1">
            <w:pPr>
              <w:rPr>
                <w:rFonts w:asciiTheme="minorHAnsi" w:hAnsiTheme="minorHAnsi" w:cstheme="minorHAnsi"/>
                <w:sz w:val="20"/>
                <w:szCs w:val="20"/>
              </w:rPr>
            </w:pPr>
            <w:r w:rsidRPr="00B22E4C">
              <w:rPr>
                <w:rFonts w:asciiTheme="minorHAnsi" w:hAnsiTheme="minorHAnsi" w:cstheme="minorHAnsi"/>
                <w:sz w:val="20"/>
                <w:szCs w:val="20"/>
              </w:rPr>
              <w:t>None identified</w:t>
            </w:r>
          </w:p>
        </w:tc>
      </w:tr>
    </w:tbl>
    <w:p w14:paraId="492D7EF1" w14:textId="77777777" w:rsidR="008B772B" w:rsidRPr="00B22E4C" w:rsidRDefault="008B772B" w:rsidP="008B772B">
      <w:pPr>
        <w:rPr>
          <w:rFonts w:asciiTheme="minorHAnsi" w:hAnsiTheme="minorHAnsi" w:cstheme="minorHAnsi"/>
          <w:sz w:val="20"/>
          <w:szCs w:val="20"/>
        </w:rPr>
      </w:pPr>
    </w:p>
    <w:p w14:paraId="716BC15C" w14:textId="77777777" w:rsidR="008B772B" w:rsidRPr="00B22E4C" w:rsidRDefault="00637D2B" w:rsidP="008B772B">
      <w:pPr>
        <w:rPr>
          <w:rFonts w:asciiTheme="minorHAnsi" w:hAnsiTheme="minorHAnsi" w:cstheme="minorHAnsi"/>
          <w:b/>
          <w:sz w:val="20"/>
          <w:szCs w:val="20"/>
        </w:rPr>
      </w:pPr>
      <w:r w:rsidRPr="00B22E4C">
        <w:rPr>
          <w:rFonts w:asciiTheme="minorHAnsi" w:hAnsiTheme="minorHAnsi" w:cstheme="minorHAnsi"/>
          <w:b/>
          <w:sz w:val="20"/>
          <w:szCs w:val="20"/>
        </w:rPr>
        <w:t>Study Results</w:t>
      </w:r>
      <w:r w:rsidR="008B772B" w:rsidRPr="00B22E4C">
        <w:rPr>
          <w:rFonts w:asciiTheme="minorHAnsi" w:hAnsiTheme="minorHAnsi" w:cstheme="minorHAnsi"/>
          <w:b/>
          <w:sz w:val="20"/>
          <w:szCs w:val="20"/>
        </w:rPr>
        <w:t xml:space="preserve"> - Table 1.</w:t>
      </w:r>
    </w:p>
    <w:p w14:paraId="4DE5D025" w14:textId="77777777" w:rsidR="0005068F" w:rsidRPr="00B22E4C" w:rsidRDefault="008B772B" w:rsidP="0005068F">
      <w:pPr>
        <w:rPr>
          <w:rFonts w:asciiTheme="minorHAnsi" w:hAnsiTheme="minorHAnsi" w:cstheme="minorHAnsi"/>
          <w:sz w:val="20"/>
          <w:szCs w:val="20"/>
        </w:rPr>
      </w:pPr>
      <w:r w:rsidRPr="00B22E4C">
        <w:rPr>
          <w:rFonts w:asciiTheme="minorHAnsi" w:hAnsiTheme="minorHAnsi" w:cstheme="minorHAnsi"/>
          <w:sz w:val="20"/>
          <w:szCs w:val="20"/>
        </w:rPr>
        <w:t xml:space="preserve">Overall, studies demonstrate that </w:t>
      </w:r>
      <w:r w:rsidR="00A935D7" w:rsidRPr="00B22E4C">
        <w:rPr>
          <w:rFonts w:asciiTheme="minorHAnsi" w:hAnsiTheme="minorHAnsi" w:cstheme="minorHAnsi"/>
          <w:sz w:val="20"/>
          <w:szCs w:val="20"/>
        </w:rPr>
        <w:t>baloxavir and safe and effective in the management of uncomplicated acute influenza</w:t>
      </w:r>
      <w:r w:rsidR="0005068F" w:rsidRPr="00B22E4C">
        <w:rPr>
          <w:rFonts w:asciiTheme="minorHAnsi" w:hAnsiTheme="minorHAnsi" w:cstheme="minorHAnsi"/>
          <w:sz w:val="20"/>
          <w:szCs w:val="20"/>
        </w:rPr>
        <w:t xml:space="preserve">. Baloxavir was found to have a shorter median time to alleviation of symptoms when compared to placebo and a similar time when compared to oseltamivir. Baloxavir was associated with significantly more rapid decline in infectious viral load, greater reduction in viral RNA loads, and shorter median duration of infectious virus detection than oseltamivir or placebo. An additional benefit of baloxavir is the single-dose regimen. However, these trials were performed exclusively in otherwise healthy outpatients with acute uncomplicated influenza. To date, studies do not support its routine use in serious infections requiring hospitalization. The potential role of baloxavir is </w:t>
      </w:r>
      <w:r w:rsidR="00AF626A" w:rsidRPr="00B22E4C">
        <w:rPr>
          <w:rFonts w:asciiTheme="minorHAnsi" w:hAnsiTheme="minorHAnsi" w:cstheme="minorHAnsi"/>
          <w:sz w:val="20"/>
          <w:szCs w:val="20"/>
        </w:rPr>
        <w:t>in cases of</w:t>
      </w:r>
      <w:r w:rsidR="003253C1" w:rsidRPr="00B22E4C">
        <w:rPr>
          <w:rFonts w:asciiTheme="minorHAnsi" w:hAnsiTheme="minorHAnsi" w:cstheme="minorHAnsi"/>
          <w:sz w:val="20"/>
          <w:szCs w:val="20"/>
        </w:rPr>
        <w:t xml:space="preserve"> neuraminidase (NA) inhibitor-resistant</w:t>
      </w:r>
      <w:r w:rsidR="00A4749E" w:rsidRPr="00B22E4C">
        <w:rPr>
          <w:rFonts w:asciiTheme="minorHAnsi" w:hAnsiTheme="minorHAnsi" w:cstheme="minorHAnsi"/>
          <w:sz w:val="20"/>
          <w:szCs w:val="20"/>
        </w:rPr>
        <w:t xml:space="preserve"> Influenza</w:t>
      </w:r>
      <w:r w:rsidR="003253C1" w:rsidRPr="00B22E4C">
        <w:rPr>
          <w:rFonts w:asciiTheme="minorHAnsi" w:hAnsiTheme="minorHAnsi" w:cstheme="minorHAnsi"/>
          <w:sz w:val="20"/>
          <w:szCs w:val="20"/>
        </w:rPr>
        <w:t xml:space="preserve"> strains.</w:t>
      </w:r>
    </w:p>
    <w:p w14:paraId="046F00AC" w14:textId="77777777" w:rsidR="0005068F" w:rsidRPr="00B22E4C" w:rsidRDefault="0005068F" w:rsidP="008B772B">
      <w:pPr>
        <w:rPr>
          <w:rFonts w:asciiTheme="minorHAnsi" w:hAnsiTheme="minorHAnsi" w:cstheme="minorHAnsi"/>
          <w:b/>
          <w:sz w:val="20"/>
          <w:szCs w:val="20"/>
        </w:rPr>
      </w:pPr>
    </w:p>
    <w:p w14:paraId="3179892C" w14:textId="77777777" w:rsidR="00444CED" w:rsidRPr="00B22E4C" w:rsidRDefault="00444CED" w:rsidP="008B772B">
      <w:pPr>
        <w:rPr>
          <w:rFonts w:asciiTheme="minorHAnsi" w:hAnsiTheme="minorHAnsi" w:cstheme="minorHAnsi"/>
          <w:b/>
          <w:sz w:val="20"/>
          <w:szCs w:val="20"/>
        </w:rPr>
      </w:pPr>
      <w:r w:rsidRPr="00B22E4C">
        <w:rPr>
          <w:rFonts w:asciiTheme="minorHAnsi" w:hAnsiTheme="minorHAnsi" w:cstheme="minorHAnsi"/>
          <w:b/>
          <w:sz w:val="20"/>
          <w:szCs w:val="20"/>
        </w:rPr>
        <w:t xml:space="preserve">Resistance </w:t>
      </w:r>
    </w:p>
    <w:p w14:paraId="1E9029CA" w14:textId="77777777" w:rsidR="00BC34CC" w:rsidRPr="00B22E4C" w:rsidRDefault="00BC34CC" w:rsidP="00BC34CC">
      <w:pPr>
        <w:pStyle w:val="ListParagraph"/>
        <w:numPr>
          <w:ilvl w:val="0"/>
          <w:numId w:val="36"/>
        </w:numPr>
        <w:rPr>
          <w:rFonts w:cstheme="minorHAnsi"/>
          <w:b/>
          <w:sz w:val="20"/>
          <w:szCs w:val="20"/>
        </w:rPr>
      </w:pPr>
      <w:r w:rsidRPr="00B22E4C">
        <w:rPr>
          <w:rFonts w:cstheme="minorHAnsi"/>
          <w:sz w:val="20"/>
          <w:szCs w:val="20"/>
        </w:rPr>
        <w:t xml:space="preserve">Amino acid substitutions 138T/M/F in the </w:t>
      </w:r>
      <w:r w:rsidR="00C34724" w:rsidRPr="00B22E4C">
        <w:rPr>
          <w:rFonts w:cstheme="minorHAnsi"/>
          <w:sz w:val="20"/>
          <w:szCs w:val="20"/>
        </w:rPr>
        <w:t xml:space="preserve">polyermase acidic (PA) </w:t>
      </w:r>
      <w:r w:rsidRPr="00B22E4C">
        <w:rPr>
          <w:rFonts w:cstheme="minorHAnsi"/>
          <w:sz w:val="20"/>
          <w:szCs w:val="20"/>
        </w:rPr>
        <w:t xml:space="preserve">protein of the viral RNA polymerase complex conferred decrease antiviral activity of baloxavir. </w:t>
      </w:r>
    </w:p>
    <w:p w14:paraId="1B9FE4D4" w14:textId="77777777" w:rsidR="009474C9" w:rsidRPr="00B22E4C" w:rsidRDefault="00BC34CC" w:rsidP="00FE0C0D">
      <w:pPr>
        <w:pStyle w:val="ListParagraph"/>
        <w:numPr>
          <w:ilvl w:val="0"/>
          <w:numId w:val="36"/>
        </w:numPr>
        <w:rPr>
          <w:rFonts w:cstheme="minorHAnsi"/>
          <w:b/>
          <w:sz w:val="20"/>
          <w:szCs w:val="20"/>
        </w:rPr>
      </w:pPr>
      <w:r w:rsidRPr="00B22E4C">
        <w:rPr>
          <w:rFonts w:cstheme="minorHAnsi"/>
          <w:sz w:val="20"/>
          <w:szCs w:val="20"/>
        </w:rPr>
        <w:t>Variant viruses with</w:t>
      </w:r>
      <w:r w:rsidRPr="00B22E4C">
        <w:rPr>
          <w:rFonts w:cstheme="minorHAnsi"/>
          <w:b/>
          <w:sz w:val="20"/>
          <w:szCs w:val="20"/>
        </w:rPr>
        <w:t xml:space="preserve"> </w:t>
      </w:r>
      <w:r w:rsidRPr="00B22E4C">
        <w:rPr>
          <w:rFonts w:cstheme="minorHAnsi"/>
          <w:sz w:val="20"/>
          <w:szCs w:val="20"/>
        </w:rPr>
        <w:t>138T/M/F substitutions were detected in 2.2% of baloxavir recipients in the phase 2 trial (all with the influenza A(H1N1)</w:t>
      </w:r>
      <w:r w:rsidR="00AF626A" w:rsidRPr="00B22E4C">
        <w:rPr>
          <w:rFonts w:cstheme="minorHAnsi"/>
          <w:sz w:val="20"/>
          <w:szCs w:val="20"/>
        </w:rPr>
        <w:t xml:space="preserve"> </w:t>
      </w:r>
      <w:r w:rsidRPr="00B22E4C">
        <w:rPr>
          <w:rFonts w:cstheme="minorHAnsi"/>
          <w:sz w:val="20"/>
          <w:szCs w:val="20"/>
        </w:rPr>
        <w:t>pdm09 infection) and 9.7% of recipients in the phase 3 trial all with the influenza A(H3N2) infection).</w:t>
      </w:r>
      <w:r w:rsidR="00FF50A7" w:rsidRPr="00B22E4C">
        <w:rPr>
          <w:rFonts w:cstheme="minorHAnsi"/>
          <w:sz w:val="20"/>
          <w:szCs w:val="20"/>
        </w:rPr>
        <w:t xml:space="preserve"> T</w:t>
      </w:r>
      <w:r w:rsidRPr="00B22E4C">
        <w:rPr>
          <w:rFonts w:cstheme="minorHAnsi"/>
          <w:sz w:val="20"/>
          <w:szCs w:val="20"/>
        </w:rPr>
        <w:t xml:space="preserve">hese substitutions were </w:t>
      </w:r>
      <w:r w:rsidR="00FF50A7" w:rsidRPr="00B22E4C">
        <w:rPr>
          <w:rFonts w:cstheme="minorHAnsi"/>
          <w:sz w:val="20"/>
          <w:szCs w:val="20"/>
        </w:rPr>
        <w:t>“</w:t>
      </w:r>
      <w:r w:rsidRPr="00B22E4C">
        <w:rPr>
          <w:rFonts w:cstheme="minorHAnsi"/>
          <w:sz w:val="20"/>
          <w:szCs w:val="20"/>
        </w:rPr>
        <w:t>sometimes in association with</w:t>
      </w:r>
      <w:r w:rsidRPr="00B22E4C">
        <w:rPr>
          <w:rFonts w:cstheme="minorHAnsi"/>
          <w:b/>
          <w:sz w:val="20"/>
          <w:szCs w:val="20"/>
        </w:rPr>
        <w:t xml:space="preserve"> </w:t>
      </w:r>
      <w:r w:rsidRPr="00B22E4C">
        <w:rPr>
          <w:rFonts w:cstheme="minorHAnsi"/>
          <w:sz w:val="20"/>
          <w:szCs w:val="20"/>
        </w:rPr>
        <w:t>rebounds in viral titers and possibly prolongation of symptoms</w:t>
      </w:r>
      <w:r w:rsidR="00FF50A7" w:rsidRPr="00B22E4C">
        <w:rPr>
          <w:rFonts w:cstheme="minorHAnsi"/>
          <w:sz w:val="20"/>
          <w:szCs w:val="20"/>
        </w:rPr>
        <w:t>”</w:t>
      </w:r>
      <w:r w:rsidRPr="00B22E4C">
        <w:rPr>
          <w:rFonts w:cstheme="minorHAnsi"/>
          <w:sz w:val="20"/>
          <w:szCs w:val="20"/>
        </w:rPr>
        <w:t>.</w:t>
      </w:r>
    </w:p>
    <w:p w14:paraId="56015A98" w14:textId="5665FC27" w:rsidR="0055125C" w:rsidRDefault="0055125C" w:rsidP="0055125C">
      <w:pPr>
        <w:pStyle w:val="ListParagraph"/>
        <w:numPr>
          <w:ilvl w:val="1"/>
          <w:numId w:val="36"/>
        </w:numPr>
        <w:rPr>
          <w:rFonts w:cstheme="minorHAnsi"/>
          <w:sz w:val="20"/>
          <w:szCs w:val="20"/>
        </w:rPr>
      </w:pPr>
      <w:r>
        <w:rPr>
          <w:rFonts w:cstheme="minorHAnsi"/>
          <w:sz w:val="20"/>
          <w:szCs w:val="20"/>
        </w:rPr>
        <w:t>Infectious influenza virus detection</w:t>
      </w:r>
    </w:p>
    <w:p w14:paraId="601A6691" w14:textId="2C0BA68E" w:rsidR="00104BFA" w:rsidRDefault="00B22E4C" w:rsidP="0055125C">
      <w:pPr>
        <w:pStyle w:val="ListParagraph"/>
        <w:numPr>
          <w:ilvl w:val="2"/>
          <w:numId w:val="36"/>
        </w:numPr>
        <w:rPr>
          <w:rFonts w:cstheme="minorHAnsi"/>
          <w:sz w:val="20"/>
          <w:szCs w:val="20"/>
        </w:rPr>
      </w:pPr>
      <w:r w:rsidRPr="00B22E4C">
        <w:rPr>
          <w:rFonts w:cstheme="minorHAnsi"/>
          <w:sz w:val="20"/>
          <w:szCs w:val="20"/>
        </w:rPr>
        <w:t>7%</w:t>
      </w:r>
      <w:r w:rsidR="00B70E0E">
        <w:rPr>
          <w:rFonts w:cstheme="minorHAnsi"/>
          <w:sz w:val="20"/>
          <w:szCs w:val="20"/>
        </w:rPr>
        <w:t xml:space="preserve"> </w:t>
      </w:r>
      <w:r w:rsidR="00B70E0E" w:rsidRPr="00B22E4C">
        <w:rPr>
          <w:rFonts w:cstheme="minorHAnsi"/>
          <w:sz w:val="20"/>
          <w:szCs w:val="20"/>
        </w:rPr>
        <w:t>(22 of 295)</w:t>
      </w:r>
      <w:r w:rsidRPr="00B22E4C">
        <w:rPr>
          <w:rFonts w:cstheme="minorHAnsi"/>
          <w:sz w:val="20"/>
          <w:szCs w:val="20"/>
        </w:rPr>
        <w:t xml:space="preserve"> of baloxavir recipients without </w:t>
      </w:r>
      <w:r w:rsidR="00B70E0E">
        <w:rPr>
          <w:rFonts w:cstheme="minorHAnsi"/>
          <w:sz w:val="20"/>
          <w:szCs w:val="20"/>
        </w:rPr>
        <w:t>PA</w:t>
      </w:r>
      <w:r w:rsidR="00B70E0E" w:rsidRPr="00B22E4C">
        <w:rPr>
          <w:rFonts w:cstheme="minorHAnsi"/>
          <w:sz w:val="20"/>
          <w:szCs w:val="20"/>
        </w:rPr>
        <w:t xml:space="preserve"> substitutions </w:t>
      </w:r>
      <w:r w:rsidR="00C13A49">
        <w:rPr>
          <w:rFonts w:cstheme="minorHAnsi"/>
          <w:sz w:val="20"/>
          <w:szCs w:val="20"/>
        </w:rPr>
        <w:t>had infectious virus detected on day 5</w:t>
      </w:r>
      <w:r w:rsidRPr="00B22E4C">
        <w:rPr>
          <w:rFonts w:cstheme="minorHAnsi"/>
          <w:sz w:val="20"/>
          <w:szCs w:val="20"/>
        </w:rPr>
        <w:t xml:space="preserve"> </w:t>
      </w:r>
    </w:p>
    <w:p w14:paraId="1FE574ED" w14:textId="590ADD5E" w:rsidR="00B70E0E" w:rsidRDefault="00B70E0E" w:rsidP="0055125C">
      <w:pPr>
        <w:pStyle w:val="ListParagraph"/>
        <w:numPr>
          <w:ilvl w:val="3"/>
          <w:numId w:val="36"/>
        </w:numPr>
        <w:rPr>
          <w:rFonts w:cstheme="minorHAnsi"/>
          <w:sz w:val="20"/>
          <w:szCs w:val="20"/>
        </w:rPr>
      </w:pPr>
      <w:r>
        <w:rPr>
          <w:rFonts w:cstheme="minorHAnsi"/>
          <w:sz w:val="20"/>
          <w:szCs w:val="20"/>
        </w:rPr>
        <w:t>2% (5 of 288) had infectious virus detected on day 9</w:t>
      </w:r>
    </w:p>
    <w:p w14:paraId="6C40FAFF" w14:textId="10DB4D5F" w:rsidR="00B70E0E" w:rsidRDefault="00B70E0E" w:rsidP="0055125C">
      <w:pPr>
        <w:pStyle w:val="ListParagraph"/>
        <w:numPr>
          <w:ilvl w:val="2"/>
          <w:numId w:val="36"/>
        </w:numPr>
        <w:rPr>
          <w:rFonts w:cstheme="minorHAnsi"/>
          <w:sz w:val="20"/>
          <w:szCs w:val="20"/>
        </w:rPr>
      </w:pPr>
      <w:r>
        <w:rPr>
          <w:rFonts w:cstheme="minorHAnsi"/>
          <w:sz w:val="20"/>
          <w:szCs w:val="20"/>
        </w:rPr>
        <w:t xml:space="preserve">91% (29 of 32) of baloxavir recipients with </w:t>
      </w:r>
      <w:r w:rsidRPr="00B22E4C">
        <w:rPr>
          <w:rFonts w:cstheme="minorHAnsi"/>
          <w:sz w:val="20"/>
          <w:szCs w:val="20"/>
        </w:rPr>
        <w:t>I38T/M substitutions</w:t>
      </w:r>
      <w:r>
        <w:rPr>
          <w:rFonts w:cstheme="minorHAnsi"/>
          <w:sz w:val="20"/>
          <w:szCs w:val="20"/>
        </w:rPr>
        <w:t xml:space="preserve"> had infectious virus detected on day 5</w:t>
      </w:r>
    </w:p>
    <w:p w14:paraId="2882DC7B" w14:textId="64071F02" w:rsidR="00B70E0E" w:rsidRDefault="00B70E0E" w:rsidP="0055125C">
      <w:pPr>
        <w:pStyle w:val="ListParagraph"/>
        <w:numPr>
          <w:ilvl w:val="3"/>
          <w:numId w:val="36"/>
        </w:numPr>
        <w:rPr>
          <w:rFonts w:cstheme="minorHAnsi"/>
          <w:sz w:val="20"/>
          <w:szCs w:val="20"/>
        </w:rPr>
      </w:pPr>
      <w:r>
        <w:rPr>
          <w:rFonts w:cstheme="minorHAnsi"/>
          <w:sz w:val="20"/>
          <w:szCs w:val="20"/>
        </w:rPr>
        <w:t>17% (6 of 26) had infectious virus detected on day 9</w:t>
      </w:r>
    </w:p>
    <w:p w14:paraId="632E6DEE" w14:textId="77777777" w:rsidR="00B70E0E" w:rsidRDefault="00B70E0E" w:rsidP="0055125C">
      <w:pPr>
        <w:pStyle w:val="ListParagraph"/>
        <w:numPr>
          <w:ilvl w:val="2"/>
          <w:numId w:val="36"/>
        </w:numPr>
        <w:rPr>
          <w:rFonts w:cstheme="minorHAnsi"/>
          <w:sz w:val="20"/>
          <w:szCs w:val="20"/>
        </w:rPr>
      </w:pPr>
      <w:r>
        <w:rPr>
          <w:rFonts w:cstheme="minorHAnsi"/>
          <w:sz w:val="20"/>
          <w:szCs w:val="20"/>
        </w:rPr>
        <w:t>31% (27 of 87 patients) of placebo patients had had infectious virus detected on day 5</w:t>
      </w:r>
    </w:p>
    <w:p w14:paraId="6FDDA270" w14:textId="45BAD860" w:rsidR="00B22E4C" w:rsidRPr="0055125C" w:rsidRDefault="00B70E0E" w:rsidP="0055125C">
      <w:pPr>
        <w:pStyle w:val="ListParagraph"/>
        <w:numPr>
          <w:ilvl w:val="3"/>
          <w:numId w:val="36"/>
        </w:numPr>
        <w:rPr>
          <w:rFonts w:cstheme="minorHAnsi"/>
          <w:sz w:val="20"/>
          <w:szCs w:val="20"/>
        </w:rPr>
      </w:pPr>
      <w:r>
        <w:rPr>
          <w:rFonts w:cstheme="minorHAnsi"/>
          <w:sz w:val="20"/>
          <w:szCs w:val="20"/>
        </w:rPr>
        <w:t>6% (5 of 90) had infectious virus detected on day 9</w:t>
      </w:r>
    </w:p>
    <w:p w14:paraId="24AD93C2" w14:textId="77777777" w:rsidR="009474C9" w:rsidRPr="00B22E4C" w:rsidRDefault="009474C9" w:rsidP="0055125C">
      <w:pPr>
        <w:pStyle w:val="ListParagraph"/>
        <w:numPr>
          <w:ilvl w:val="1"/>
          <w:numId w:val="36"/>
        </w:numPr>
        <w:rPr>
          <w:rFonts w:cstheme="minorHAnsi"/>
          <w:b/>
          <w:sz w:val="20"/>
          <w:szCs w:val="20"/>
        </w:rPr>
      </w:pPr>
      <w:r w:rsidRPr="00B22E4C">
        <w:rPr>
          <w:rFonts w:cstheme="minorHAnsi"/>
          <w:sz w:val="20"/>
          <w:szCs w:val="20"/>
        </w:rPr>
        <w:t>The median time to alleviation of symptoms was longer in balo</w:t>
      </w:r>
      <w:r w:rsidR="00B22E4C" w:rsidRPr="00B22E4C">
        <w:rPr>
          <w:rFonts w:cstheme="minorHAnsi"/>
          <w:sz w:val="20"/>
          <w:szCs w:val="20"/>
        </w:rPr>
        <w:t>xavir recipients with 138 T/M s</w:t>
      </w:r>
      <w:r w:rsidRPr="00B22E4C">
        <w:rPr>
          <w:rFonts w:cstheme="minorHAnsi"/>
          <w:sz w:val="20"/>
          <w:szCs w:val="20"/>
        </w:rPr>
        <w:t>ubstitutions than those without variants (63.1 hours vs. 49.6 hours)</w:t>
      </w:r>
    </w:p>
    <w:p w14:paraId="320A30B3" w14:textId="77777777" w:rsidR="00434CE8" w:rsidRPr="00B22E4C" w:rsidRDefault="002A0F79" w:rsidP="008B772B">
      <w:pPr>
        <w:pStyle w:val="ListParagraph"/>
        <w:numPr>
          <w:ilvl w:val="0"/>
          <w:numId w:val="36"/>
        </w:numPr>
        <w:spacing w:after="0" w:line="240" w:lineRule="auto"/>
        <w:rPr>
          <w:sz w:val="20"/>
          <w:szCs w:val="20"/>
        </w:rPr>
      </w:pPr>
      <w:r w:rsidRPr="00B22E4C">
        <w:rPr>
          <w:sz w:val="20"/>
          <w:szCs w:val="20"/>
        </w:rPr>
        <w:t xml:space="preserve">Cross resistance between baloxavir and neuraminidase inhibitors (ie., oseltamivir) is not expected because these drugs target different viral proteins. Influenza virus may carry amino acid substitutions in PA that reduce susceptibility to </w:t>
      </w:r>
      <w:r w:rsidRPr="00B22E4C">
        <w:rPr>
          <w:sz w:val="20"/>
          <w:szCs w:val="20"/>
        </w:rPr>
        <w:lastRenderedPageBreak/>
        <w:t>baloxavir and at the same time carry resistance-associated s</w:t>
      </w:r>
      <w:r w:rsidR="00C34724" w:rsidRPr="00B22E4C">
        <w:rPr>
          <w:sz w:val="20"/>
          <w:szCs w:val="20"/>
        </w:rPr>
        <w:t xml:space="preserve">ubstitutions for NA inhibitors, however, the </w:t>
      </w:r>
      <w:r w:rsidRPr="00B22E4C">
        <w:rPr>
          <w:sz w:val="20"/>
          <w:szCs w:val="20"/>
        </w:rPr>
        <w:t xml:space="preserve">clinical relevance of phenotypic cross-resistance evaluations has not been established. </w:t>
      </w:r>
    </w:p>
    <w:p w14:paraId="4BFB17D9" w14:textId="77777777" w:rsidR="004A0576" w:rsidRPr="00B22E4C" w:rsidRDefault="004A0576" w:rsidP="004A0576">
      <w:pPr>
        <w:pStyle w:val="ListParagraph"/>
        <w:spacing w:after="0" w:line="240" w:lineRule="auto"/>
        <w:ind w:left="360"/>
        <w:rPr>
          <w:sz w:val="20"/>
          <w:szCs w:val="20"/>
        </w:rPr>
      </w:pPr>
    </w:p>
    <w:p w14:paraId="7ACEAAFB" w14:textId="77777777" w:rsidR="00AB070E" w:rsidRPr="00B22E4C" w:rsidRDefault="00AB070E" w:rsidP="008B772B">
      <w:pPr>
        <w:rPr>
          <w:rFonts w:asciiTheme="minorHAnsi" w:hAnsiTheme="minorHAnsi" w:cstheme="minorHAnsi"/>
          <w:b/>
          <w:sz w:val="20"/>
          <w:szCs w:val="20"/>
        </w:rPr>
      </w:pPr>
      <w:r w:rsidRPr="00B22E4C">
        <w:rPr>
          <w:rFonts w:asciiTheme="minorHAnsi" w:hAnsiTheme="minorHAnsi" w:cstheme="minorHAnsi"/>
          <w:b/>
          <w:sz w:val="20"/>
          <w:szCs w:val="20"/>
        </w:rPr>
        <w:t>Dosage Forms and Strengths</w:t>
      </w:r>
    </w:p>
    <w:p w14:paraId="65826681" w14:textId="77777777" w:rsidR="00AB070E" w:rsidRPr="00B22E4C" w:rsidRDefault="00AF626A" w:rsidP="00AB070E">
      <w:pPr>
        <w:pStyle w:val="ListParagraph"/>
        <w:numPr>
          <w:ilvl w:val="0"/>
          <w:numId w:val="28"/>
        </w:numPr>
        <w:rPr>
          <w:rFonts w:cstheme="minorHAnsi"/>
          <w:b/>
          <w:sz w:val="20"/>
          <w:szCs w:val="20"/>
        </w:rPr>
      </w:pPr>
      <w:r w:rsidRPr="00B22E4C">
        <w:rPr>
          <w:rFonts w:cstheme="minorHAnsi"/>
          <w:sz w:val="20"/>
          <w:szCs w:val="20"/>
        </w:rPr>
        <w:t>Dosage form: tablet</w:t>
      </w:r>
    </w:p>
    <w:p w14:paraId="56A33E80" w14:textId="77777777" w:rsidR="00AB070E" w:rsidRPr="00B22E4C" w:rsidRDefault="00AB070E" w:rsidP="008B772B">
      <w:pPr>
        <w:pStyle w:val="ListParagraph"/>
        <w:numPr>
          <w:ilvl w:val="0"/>
          <w:numId w:val="28"/>
        </w:numPr>
        <w:rPr>
          <w:rFonts w:cstheme="minorHAnsi"/>
          <w:b/>
          <w:sz w:val="20"/>
          <w:szCs w:val="20"/>
        </w:rPr>
      </w:pPr>
      <w:r w:rsidRPr="00B22E4C">
        <w:rPr>
          <w:rFonts w:cstheme="minorHAnsi"/>
          <w:sz w:val="20"/>
          <w:szCs w:val="20"/>
        </w:rPr>
        <w:t>Dosage strengths: 20 mg and 40 mg</w:t>
      </w:r>
    </w:p>
    <w:p w14:paraId="4FA193F5" w14:textId="77777777" w:rsidR="00200B80" w:rsidRPr="00B22E4C" w:rsidRDefault="008B772B" w:rsidP="008B772B">
      <w:pPr>
        <w:rPr>
          <w:rFonts w:asciiTheme="minorHAnsi" w:hAnsiTheme="minorHAnsi" w:cstheme="minorHAnsi"/>
          <w:sz w:val="20"/>
          <w:szCs w:val="20"/>
        </w:rPr>
      </w:pPr>
      <w:r w:rsidRPr="00B22E4C">
        <w:rPr>
          <w:rFonts w:asciiTheme="minorHAnsi" w:hAnsiTheme="minorHAnsi" w:cstheme="minorHAnsi"/>
          <w:b/>
          <w:sz w:val="20"/>
          <w:szCs w:val="20"/>
        </w:rPr>
        <w:t>Dosage and Administration</w:t>
      </w:r>
    </w:p>
    <w:p w14:paraId="04B60795" w14:textId="77777777" w:rsidR="00200B80" w:rsidRPr="00B22E4C" w:rsidRDefault="00200B80" w:rsidP="0069418A">
      <w:pPr>
        <w:pStyle w:val="ListParagraph"/>
        <w:numPr>
          <w:ilvl w:val="0"/>
          <w:numId w:val="27"/>
        </w:numPr>
        <w:rPr>
          <w:rFonts w:cs="Calibri"/>
          <w:color w:val="000000" w:themeColor="text1"/>
          <w:sz w:val="20"/>
          <w:szCs w:val="20"/>
        </w:rPr>
      </w:pPr>
      <w:r w:rsidRPr="00B22E4C">
        <w:rPr>
          <w:rFonts w:cs="Calibri"/>
          <w:color w:val="000000" w:themeColor="text1"/>
          <w:sz w:val="20"/>
          <w:szCs w:val="20"/>
        </w:rPr>
        <w:t>Administer within 2 days of influenza symptom onset</w:t>
      </w:r>
    </w:p>
    <w:p w14:paraId="564D8FFB" w14:textId="77777777" w:rsidR="00200B80" w:rsidRPr="00B22E4C" w:rsidRDefault="00200B80" w:rsidP="00200B80">
      <w:pPr>
        <w:pStyle w:val="ListParagraph"/>
        <w:numPr>
          <w:ilvl w:val="0"/>
          <w:numId w:val="2"/>
        </w:numPr>
        <w:spacing w:after="0" w:line="240" w:lineRule="auto"/>
        <w:rPr>
          <w:rFonts w:cs="Calibri"/>
          <w:color w:val="000000" w:themeColor="text1"/>
          <w:sz w:val="20"/>
          <w:szCs w:val="20"/>
        </w:rPr>
      </w:pPr>
      <w:r w:rsidRPr="00B22E4C">
        <w:rPr>
          <w:rFonts w:cs="Calibri"/>
          <w:color w:val="000000" w:themeColor="text1"/>
          <w:sz w:val="20"/>
          <w:szCs w:val="20"/>
        </w:rPr>
        <w:t xml:space="preserve">Dosage (for patients </w:t>
      </w:r>
      <w:r w:rsidRPr="00B22E4C">
        <w:rPr>
          <w:rFonts w:cs="Calibri"/>
          <w:color w:val="000000" w:themeColor="text1"/>
          <w:sz w:val="20"/>
          <w:szCs w:val="20"/>
          <w:u w:val="single"/>
        </w:rPr>
        <w:t>&gt;</w:t>
      </w:r>
      <w:r w:rsidRPr="00B22E4C">
        <w:rPr>
          <w:rFonts w:cs="Calibri"/>
          <w:color w:val="000000" w:themeColor="text1"/>
          <w:sz w:val="20"/>
          <w:szCs w:val="20"/>
        </w:rPr>
        <w:t xml:space="preserve">12 years of age with acute uncomplicated influenza): </w:t>
      </w:r>
    </w:p>
    <w:tbl>
      <w:tblPr>
        <w:tblStyle w:val="TableGrid"/>
        <w:tblW w:w="0" w:type="auto"/>
        <w:tblInd w:w="360" w:type="dxa"/>
        <w:tblLook w:val="04A0" w:firstRow="1" w:lastRow="0" w:firstColumn="1" w:lastColumn="0" w:noHBand="0" w:noVBand="1"/>
      </w:tblPr>
      <w:tblGrid>
        <w:gridCol w:w="3638"/>
        <w:gridCol w:w="3639"/>
      </w:tblGrid>
      <w:tr w:rsidR="009B51B5" w:rsidRPr="00B22E4C" w14:paraId="468C39AE" w14:textId="77777777" w:rsidTr="00372C58">
        <w:trPr>
          <w:trHeight w:val="338"/>
        </w:trPr>
        <w:tc>
          <w:tcPr>
            <w:tcW w:w="3638" w:type="dxa"/>
            <w:vAlign w:val="center"/>
          </w:tcPr>
          <w:p w14:paraId="78997A81" w14:textId="77777777" w:rsidR="009B51B5" w:rsidRPr="00B22E4C" w:rsidRDefault="009B51B5" w:rsidP="00372C58">
            <w:pPr>
              <w:jc w:val="center"/>
              <w:rPr>
                <w:rFonts w:asciiTheme="minorHAnsi" w:hAnsiTheme="minorHAnsi" w:cs="Calibri"/>
                <w:b/>
                <w:color w:val="000000" w:themeColor="text1"/>
                <w:sz w:val="20"/>
                <w:szCs w:val="20"/>
              </w:rPr>
            </w:pPr>
            <w:r w:rsidRPr="00B22E4C">
              <w:rPr>
                <w:rFonts w:asciiTheme="minorHAnsi" w:hAnsiTheme="minorHAnsi" w:cs="Calibri"/>
                <w:b/>
                <w:color w:val="000000" w:themeColor="text1"/>
                <w:sz w:val="20"/>
                <w:szCs w:val="20"/>
              </w:rPr>
              <w:t>Patient Body Weight (kg)</w:t>
            </w:r>
          </w:p>
        </w:tc>
        <w:tc>
          <w:tcPr>
            <w:tcW w:w="3639" w:type="dxa"/>
            <w:vAlign w:val="center"/>
          </w:tcPr>
          <w:p w14:paraId="32FD9D67" w14:textId="77777777" w:rsidR="009B51B5" w:rsidRPr="00B22E4C" w:rsidRDefault="009B51B5" w:rsidP="00372C58">
            <w:pPr>
              <w:jc w:val="center"/>
              <w:rPr>
                <w:rFonts w:asciiTheme="minorHAnsi" w:hAnsiTheme="minorHAnsi" w:cs="Calibri"/>
                <w:b/>
                <w:color w:val="000000" w:themeColor="text1"/>
                <w:sz w:val="20"/>
                <w:szCs w:val="20"/>
              </w:rPr>
            </w:pPr>
            <w:r w:rsidRPr="00B22E4C">
              <w:rPr>
                <w:rFonts w:asciiTheme="minorHAnsi" w:hAnsiTheme="minorHAnsi" w:cs="Calibri"/>
                <w:b/>
                <w:color w:val="000000" w:themeColor="text1"/>
                <w:sz w:val="20"/>
                <w:szCs w:val="20"/>
              </w:rPr>
              <w:t>Recommended Oral Dose</w:t>
            </w:r>
          </w:p>
        </w:tc>
      </w:tr>
      <w:tr w:rsidR="009B51B5" w:rsidRPr="00B22E4C" w14:paraId="01CDA463" w14:textId="77777777" w:rsidTr="00372C58">
        <w:trPr>
          <w:trHeight w:val="338"/>
        </w:trPr>
        <w:tc>
          <w:tcPr>
            <w:tcW w:w="3638" w:type="dxa"/>
            <w:vAlign w:val="center"/>
          </w:tcPr>
          <w:p w14:paraId="0C8DAA12" w14:textId="77777777" w:rsidR="009B51B5" w:rsidRPr="00B22E4C" w:rsidRDefault="009B51B5" w:rsidP="00372C58">
            <w:pPr>
              <w:jc w:val="center"/>
              <w:rPr>
                <w:rFonts w:asciiTheme="minorHAnsi" w:hAnsiTheme="minorHAnsi" w:cs="Calibri"/>
                <w:color w:val="000000" w:themeColor="text1"/>
                <w:sz w:val="20"/>
                <w:szCs w:val="20"/>
              </w:rPr>
            </w:pPr>
            <w:r w:rsidRPr="00B22E4C">
              <w:rPr>
                <w:rFonts w:asciiTheme="minorHAnsi" w:hAnsiTheme="minorHAnsi" w:cs="Calibri"/>
                <w:color w:val="000000" w:themeColor="text1"/>
                <w:sz w:val="20"/>
                <w:szCs w:val="20"/>
              </w:rPr>
              <w:t>40 kg to &lt;80 kg</w:t>
            </w:r>
          </w:p>
        </w:tc>
        <w:tc>
          <w:tcPr>
            <w:tcW w:w="3639" w:type="dxa"/>
            <w:vAlign w:val="center"/>
          </w:tcPr>
          <w:p w14:paraId="31C2308F" w14:textId="77777777" w:rsidR="009B51B5" w:rsidRPr="00B22E4C" w:rsidRDefault="009B51B5" w:rsidP="00372C58">
            <w:pPr>
              <w:jc w:val="center"/>
              <w:rPr>
                <w:rFonts w:asciiTheme="minorHAnsi" w:hAnsiTheme="minorHAnsi" w:cs="Calibri"/>
                <w:color w:val="000000" w:themeColor="text1"/>
                <w:sz w:val="20"/>
                <w:szCs w:val="20"/>
              </w:rPr>
            </w:pPr>
            <w:r w:rsidRPr="00B22E4C">
              <w:rPr>
                <w:rFonts w:asciiTheme="minorHAnsi" w:hAnsiTheme="minorHAnsi" w:cs="Calibri"/>
                <w:color w:val="000000" w:themeColor="text1"/>
                <w:sz w:val="20"/>
                <w:szCs w:val="20"/>
              </w:rPr>
              <w:t>Single dose of 40 mg</w:t>
            </w:r>
          </w:p>
        </w:tc>
      </w:tr>
      <w:tr w:rsidR="009B51B5" w:rsidRPr="00B22E4C" w14:paraId="34109508" w14:textId="77777777" w:rsidTr="00372C58">
        <w:trPr>
          <w:trHeight w:val="338"/>
        </w:trPr>
        <w:tc>
          <w:tcPr>
            <w:tcW w:w="3638" w:type="dxa"/>
            <w:vAlign w:val="center"/>
          </w:tcPr>
          <w:p w14:paraId="4928138D" w14:textId="77777777" w:rsidR="009B51B5" w:rsidRPr="00B22E4C" w:rsidRDefault="009B51B5" w:rsidP="00372C58">
            <w:pPr>
              <w:pStyle w:val="ListParagraph"/>
              <w:spacing w:after="0" w:line="240" w:lineRule="auto"/>
              <w:ind w:left="0"/>
              <w:jc w:val="center"/>
              <w:rPr>
                <w:rFonts w:cs="Calibri"/>
                <w:color w:val="000000" w:themeColor="text1"/>
                <w:sz w:val="20"/>
                <w:szCs w:val="20"/>
              </w:rPr>
            </w:pPr>
            <w:r w:rsidRPr="00B22E4C">
              <w:rPr>
                <w:rFonts w:cs="Calibri"/>
                <w:color w:val="000000" w:themeColor="text1"/>
                <w:sz w:val="20"/>
                <w:szCs w:val="20"/>
                <w:u w:val="single"/>
              </w:rPr>
              <w:t>&gt;</w:t>
            </w:r>
            <w:r w:rsidRPr="00B22E4C">
              <w:rPr>
                <w:rFonts w:cs="Calibri"/>
                <w:color w:val="000000" w:themeColor="text1"/>
                <w:sz w:val="20"/>
                <w:szCs w:val="20"/>
              </w:rPr>
              <w:t>80 kg</w:t>
            </w:r>
          </w:p>
        </w:tc>
        <w:tc>
          <w:tcPr>
            <w:tcW w:w="3639" w:type="dxa"/>
            <w:vAlign w:val="center"/>
          </w:tcPr>
          <w:p w14:paraId="2182DACC" w14:textId="77777777" w:rsidR="009B51B5" w:rsidRPr="00B22E4C" w:rsidRDefault="009B51B5" w:rsidP="00372C58">
            <w:pPr>
              <w:pStyle w:val="ListParagraph"/>
              <w:spacing w:after="0" w:line="240" w:lineRule="auto"/>
              <w:ind w:left="0"/>
              <w:jc w:val="center"/>
              <w:rPr>
                <w:rFonts w:cs="Calibri"/>
                <w:color w:val="000000" w:themeColor="text1"/>
                <w:sz w:val="20"/>
                <w:szCs w:val="20"/>
              </w:rPr>
            </w:pPr>
            <w:r w:rsidRPr="00B22E4C">
              <w:rPr>
                <w:rFonts w:cs="Calibri"/>
                <w:color w:val="000000" w:themeColor="text1"/>
                <w:sz w:val="20"/>
                <w:szCs w:val="20"/>
              </w:rPr>
              <w:t>Single dose of 80 mg</w:t>
            </w:r>
          </w:p>
        </w:tc>
      </w:tr>
    </w:tbl>
    <w:p w14:paraId="7B323456" w14:textId="77777777" w:rsidR="00200B80" w:rsidRPr="00B22E4C" w:rsidRDefault="00200B80" w:rsidP="00200B80">
      <w:pPr>
        <w:pStyle w:val="ListParagraph"/>
        <w:numPr>
          <w:ilvl w:val="0"/>
          <w:numId w:val="5"/>
        </w:numPr>
        <w:spacing w:after="0" w:line="240" w:lineRule="auto"/>
        <w:rPr>
          <w:rFonts w:cs="Calibri"/>
          <w:color w:val="000000" w:themeColor="text1"/>
          <w:sz w:val="20"/>
          <w:szCs w:val="20"/>
        </w:rPr>
      </w:pPr>
      <w:r w:rsidRPr="00B22E4C">
        <w:rPr>
          <w:rFonts w:cs="Calibri"/>
          <w:color w:val="000000" w:themeColor="text1"/>
          <w:sz w:val="20"/>
          <w:szCs w:val="20"/>
        </w:rPr>
        <w:t>Dosage adjustments:</w:t>
      </w:r>
    </w:p>
    <w:p w14:paraId="500EBEAD" w14:textId="77777777" w:rsidR="00C13A49" w:rsidRDefault="00200B80" w:rsidP="00200B80">
      <w:pPr>
        <w:pStyle w:val="ListParagraph"/>
        <w:numPr>
          <w:ilvl w:val="0"/>
          <w:numId w:val="4"/>
        </w:numPr>
        <w:spacing w:after="0" w:line="240" w:lineRule="auto"/>
        <w:rPr>
          <w:rFonts w:cs="Calibri"/>
          <w:color w:val="000000" w:themeColor="text1"/>
          <w:sz w:val="20"/>
          <w:szCs w:val="20"/>
        </w:rPr>
      </w:pPr>
      <w:r w:rsidRPr="00B22E4C">
        <w:rPr>
          <w:rFonts w:cs="Calibri"/>
          <w:color w:val="000000" w:themeColor="text1"/>
          <w:sz w:val="20"/>
          <w:szCs w:val="20"/>
        </w:rPr>
        <w:t>Renal impairment: no adjustment provided (has not been studied in creatinine clearance &lt;50 mL/minute)</w:t>
      </w:r>
      <w:r w:rsidR="00C13A49">
        <w:rPr>
          <w:rFonts w:cs="Calibri"/>
          <w:color w:val="000000" w:themeColor="text1"/>
          <w:sz w:val="20"/>
          <w:szCs w:val="20"/>
        </w:rPr>
        <w:t xml:space="preserve">, </w:t>
      </w:r>
    </w:p>
    <w:p w14:paraId="2A18E12D" w14:textId="520C7670" w:rsidR="0055125C" w:rsidRDefault="00C13A49" w:rsidP="0055125C">
      <w:pPr>
        <w:pStyle w:val="ListParagraph"/>
        <w:numPr>
          <w:ilvl w:val="1"/>
          <w:numId w:val="4"/>
        </w:numPr>
        <w:spacing w:after="0" w:line="240" w:lineRule="auto"/>
        <w:rPr>
          <w:rFonts w:cs="Calibri"/>
          <w:color w:val="000000" w:themeColor="text1"/>
          <w:sz w:val="20"/>
          <w:szCs w:val="20"/>
        </w:rPr>
      </w:pPr>
      <w:r>
        <w:rPr>
          <w:rFonts w:cs="Calibri"/>
          <w:color w:val="000000" w:themeColor="text1"/>
          <w:sz w:val="20"/>
          <w:szCs w:val="20"/>
        </w:rPr>
        <w:t>Although not studied in CrCl &lt;50</w:t>
      </w:r>
      <w:r w:rsidR="00DD694D">
        <w:rPr>
          <w:rFonts w:cs="Calibri"/>
          <w:color w:val="000000" w:themeColor="text1"/>
          <w:sz w:val="20"/>
          <w:szCs w:val="20"/>
        </w:rPr>
        <w:t xml:space="preserve"> ml/min</w:t>
      </w:r>
      <w:r>
        <w:rPr>
          <w:rFonts w:cs="Calibri"/>
          <w:color w:val="000000" w:themeColor="text1"/>
          <w:sz w:val="20"/>
          <w:szCs w:val="20"/>
        </w:rPr>
        <w:t>, only 14</w:t>
      </w:r>
      <w:r w:rsidR="00DD694D">
        <w:rPr>
          <w:rFonts w:cs="Calibri"/>
          <w:color w:val="000000" w:themeColor="text1"/>
          <w:sz w:val="20"/>
          <w:szCs w:val="20"/>
        </w:rPr>
        <w:t>.7</w:t>
      </w:r>
      <w:r>
        <w:rPr>
          <w:rFonts w:cs="Calibri"/>
          <w:color w:val="000000" w:themeColor="text1"/>
          <w:sz w:val="20"/>
          <w:szCs w:val="20"/>
        </w:rPr>
        <w:t>% of</w:t>
      </w:r>
      <w:r w:rsidR="00DD694D">
        <w:rPr>
          <w:rFonts w:cs="Calibri"/>
          <w:color w:val="000000" w:themeColor="text1"/>
          <w:sz w:val="20"/>
          <w:szCs w:val="20"/>
        </w:rPr>
        <w:t xml:space="preserve"> baloxavir</w:t>
      </w:r>
      <w:r>
        <w:rPr>
          <w:rFonts w:cs="Calibri"/>
          <w:color w:val="000000" w:themeColor="text1"/>
          <w:sz w:val="20"/>
          <w:szCs w:val="20"/>
        </w:rPr>
        <w:t xml:space="preserve"> is </w:t>
      </w:r>
      <w:r w:rsidR="00DD694D">
        <w:rPr>
          <w:rFonts w:cs="Calibri"/>
          <w:color w:val="000000" w:themeColor="text1"/>
          <w:sz w:val="20"/>
          <w:szCs w:val="20"/>
        </w:rPr>
        <w:t>excreted through the urine</w:t>
      </w:r>
      <w:r>
        <w:rPr>
          <w:rFonts w:cs="Calibri"/>
          <w:color w:val="000000" w:themeColor="text1"/>
          <w:sz w:val="20"/>
          <w:szCs w:val="20"/>
        </w:rPr>
        <w:t xml:space="preserve"> and this is only a one-time dose</w:t>
      </w:r>
      <w:r w:rsidR="008A1B03">
        <w:rPr>
          <w:rFonts w:cs="Calibri"/>
          <w:color w:val="000000" w:themeColor="text1"/>
          <w:sz w:val="20"/>
          <w:szCs w:val="20"/>
        </w:rPr>
        <w:t>. Therefore,</w:t>
      </w:r>
      <w:r>
        <w:rPr>
          <w:rFonts w:cs="Calibri"/>
          <w:color w:val="000000" w:themeColor="text1"/>
          <w:sz w:val="20"/>
          <w:szCs w:val="20"/>
        </w:rPr>
        <w:t xml:space="preserve"> no dos</w:t>
      </w:r>
      <w:r w:rsidR="00DD694D">
        <w:rPr>
          <w:rFonts w:cs="Calibri"/>
          <w:color w:val="000000" w:themeColor="text1"/>
          <w:sz w:val="20"/>
          <w:szCs w:val="20"/>
        </w:rPr>
        <w:t>ag</w:t>
      </w:r>
      <w:r w:rsidR="0055125C">
        <w:rPr>
          <w:rFonts w:cs="Calibri"/>
          <w:color w:val="000000" w:themeColor="text1"/>
          <w:sz w:val="20"/>
          <w:szCs w:val="20"/>
        </w:rPr>
        <w:t>e</w:t>
      </w:r>
      <w:r>
        <w:rPr>
          <w:rFonts w:cs="Calibri"/>
          <w:color w:val="000000" w:themeColor="text1"/>
          <w:sz w:val="20"/>
          <w:szCs w:val="20"/>
        </w:rPr>
        <w:t xml:space="preserve"> adjustment would be recommended among patients with significant renal impairment.</w:t>
      </w:r>
    </w:p>
    <w:p w14:paraId="07EA5CE3" w14:textId="2A73733E" w:rsidR="00200B80" w:rsidRPr="00B22E4C" w:rsidRDefault="00200B80" w:rsidP="00200B80">
      <w:pPr>
        <w:pStyle w:val="ListParagraph"/>
        <w:numPr>
          <w:ilvl w:val="0"/>
          <w:numId w:val="4"/>
        </w:numPr>
        <w:spacing w:after="0" w:line="240" w:lineRule="auto"/>
        <w:rPr>
          <w:rFonts w:cs="Calibri"/>
          <w:color w:val="000000" w:themeColor="text1"/>
          <w:sz w:val="20"/>
          <w:szCs w:val="20"/>
        </w:rPr>
      </w:pPr>
      <w:r w:rsidRPr="00B22E4C">
        <w:rPr>
          <w:rFonts w:cs="Calibri"/>
          <w:color w:val="000000" w:themeColor="text1"/>
          <w:sz w:val="20"/>
          <w:szCs w:val="20"/>
        </w:rPr>
        <w:t>Hepatic impairment: no adjustment provided (has not been studied in severe impairment)</w:t>
      </w:r>
    </w:p>
    <w:p w14:paraId="44FA3300" w14:textId="77777777" w:rsidR="00200B80" w:rsidRPr="00B22E4C" w:rsidRDefault="00200B80" w:rsidP="00200B80">
      <w:pPr>
        <w:pStyle w:val="ListParagraph"/>
        <w:numPr>
          <w:ilvl w:val="0"/>
          <w:numId w:val="4"/>
        </w:numPr>
        <w:spacing w:after="0" w:line="240" w:lineRule="auto"/>
        <w:rPr>
          <w:rFonts w:cs="Calibri"/>
          <w:color w:val="000000" w:themeColor="text1"/>
          <w:sz w:val="20"/>
          <w:szCs w:val="20"/>
        </w:rPr>
      </w:pPr>
      <w:r w:rsidRPr="00B22E4C">
        <w:rPr>
          <w:rFonts w:cs="Calibri"/>
          <w:color w:val="000000" w:themeColor="text1"/>
          <w:sz w:val="20"/>
          <w:szCs w:val="20"/>
        </w:rPr>
        <w:t>Body weight: has a significant effect on the pharmacokinetics of baloxavir (as body weight increases, baloxavir exposure decreases). No clinically significant difference in exposure was observed between body weight groups when dosed according to the recommended weight-based dosing.</w:t>
      </w:r>
    </w:p>
    <w:p w14:paraId="4D836C3A" w14:textId="0862A76E" w:rsidR="00200B80" w:rsidRPr="00B22E4C" w:rsidRDefault="00200B80" w:rsidP="00200B80">
      <w:pPr>
        <w:pStyle w:val="ListParagraph"/>
        <w:numPr>
          <w:ilvl w:val="0"/>
          <w:numId w:val="4"/>
        </w:numPr>
        <w:spacing w:after="0" w:line="240" w:lineRule="auto"/>
        <w:rPr>
          <w:rFonts w:cs="Calibri"/>
          <w:color w:val="000000" w:themeColor="text1"/>
          <w:sz w:val="20"/>
          <w:szCs w:val="20"/>
        </w:rPr>
      </w:pPr>
      <w:r w:rsidRPr="00B22E4C">
        <w:rPr>
          <w:rFonts w:cs="Calibri"/>
          <w:color w:val="000000" w:themeColor="text1"/>
          <w:sz w:val="20"/>
          <w:szCs w:val="20"/>
        </w:rPr>
        <w:t xml:space="preserve">Race/ethnicity: </w:t>
      </w:r>
      <w:r w:rsidR="00B70E0E">
        <w:rPr>
          <w:rFonts w:cs="Calibri"/>
          <w:color w:val="000000" w:themeColor="text1"/>
          <w:sz w:val="20"/>
          <w:szCs w:val="20"/>
        </w:rPr>
        <w:t xml:space="preserve">based on population pharmacokinetic analysis, </w:t>
      </w:r>
      <w:r w:rsidRPr="00B70E0E">
        <w:rPr>
          <w:rFonts w:cs="Calibri"/>
          <w:color w:val="000000" w:themeColor="text1"/>
          <w:sz w:val="20"/>
          <w:szCs w:val="20"/>
        </w:rPr>
        <w:t>baloxavir</w:t>
      </w:r>
      <w:r w:rsidR="004E766C" w:rsidRPr="00B70E0E">
        <w:rPr>
          <w:rFonts w:cs="Calibri"/>
          <w:color w:val="000000" w:themeColor="text1"/>
          <w:sz w:val="20"/>
          <w:szCs w:val="20"/>
        </w:rPr>
        <w:t xml:space="preserve"> AUC</w:t>
      </w:r>
      <w:r w:rsidRPr="00B70E0E">
        <w:rPr>
          <w:rFonts w:cs="Calibri"/>
          <w:color w:val="000000" w:themeColor="text1"/>
          <w:sz w:val="20"/>
          <w:szCs w:val="20"/>
        </w:rPr>
        <w:t xml:space="preserve"> exposure</w:t>
      </w:r>
      <w:r w:rsidRPr="00B22E4C">
        <w:rPr>
          <w:rFonts w:cs="Calibri"/>
          <w:color w:val="000000" w:themeColor="text1"/>
          <w:sz w:val="20"/>
          <w:szCs w:val="20"/>
        </w:rPr>
        <w:t xml:space="preserve"> is approximately 35% lower in non-Asians when compared to Asians; however, this difference is not considered clinically significant</w:t>
      </w:r>
    </w:p>
    <w:p w14:paraId="45DBD61F" w14:textId="77777777" w:rsidR="00200B80" w:rsidRPr="00B22E4C" w:rsidRDefault="00200B80" w:rsidP="00200B80">
      <w:pPr>
        <w:pStyle w:val="ListParagraph"/>
        <w:numPr>
          <w:ilvl w:val="0"/>
          <w:numId w:val="6"/>
        </w:numPr>
        <w:spacing w:after="0" w:line="240" w:lineRule="auto"/>
        <w:rPr>
          <w:rFonts w:cs="Calibri"/>
          <w:color w:val="000000" w:themeColor="text1"/>
          <w:sz w:val="20"/>
          <w:szCs w:val="20"/>
        </w:rPr>
      </w:pPr>
      <w:r w:rsidRPr="00B22E4C">
        <w:rPr>
          <w:rFonts w:cs="Calibri"/>
          <w:color w:val="000000" w:themeColor="text1"/>
          <w:sz w:val="20"/>
          <w:szCs w:val="20"/>
        </w:rPr>
        <w:t xml:space="preserve">Pregnancy: </w:t>
      </w:r>
    </w:p>
    <w:p w14:paraId="1DB23011" w14:textId="77777777" w:rsidR="00200B80" w:rsidRPr="00B22E4C" w:rsidRDefault="00200B80" w:rsidP="00200B80">
      <w:pPr>
        <w:pStyle w:val="ListParagraph"/>
        <w:numPr>
          <w:ilvl w:val="0"/>
          <w:numId w:val="7"/>
        </w:numPr>
        <w:spacing w:after="0" w:line="240" w:lineRule="auto"/>
        <w:rPr>
          <w:rFonts w:cs="Calibri"/>
          <w:color w:val="000000" w:themeColor="text1"/>
          <w:sz w:val="20"/>
          <w:szCs w:val="20"/>
        </w:rPr>
      </w:pPr>
      <w:r w:rsidRPr="00B22E4C">
        <w:rPr>
          <w:rFonts w:cs="Calibri"/>
          <w:color w:val="000000" w:themeColor="text1"/>
          <w:sz w:val="20"/>
          <w:szCs w:val="20"/>
        </w:rPr>
        <w:t>No available data on baloxavir use in pregnancy</w:t>
      </w:r>
    </w:p>
    <w:p w14:paraId="57EAB69E" w14:textId="4BBDE048" w:rsidR="00200B80" w:rsidRDefault="00200B80" w:rsidP="00200B80">
      <w:pPr>
        <w:pStyle w:val="ListParagraph"/>
        <w:numPr>
          <w:ilvl w:val="0"/>
          <w:numId w:val="7"/>
        </w:numPr>
        <w:spacing w:after="0" w:line="240" w:lineRule="auto"/>
        <w:rPr>
          <w:rFonts w:cs="Calibri"/>
          <w:color w:val="000000" w:themeColor="text1"/>
          <w:sz w:val="20"/>
          <w:szCs w:val="20"/>
        </w:rPr>
      </w:pPr>
      <w:r w:rsidRPr="00B22E4C">
        <w:rPr>
          <w:rFonts w:cs="Calibri"/>
          <w:color w:val="000000" w:themeColor="text1"/>
          <w:sz w:val="20"/>
          <w:szCs w:val="20"/>
        </w:rPr>
        <w:t>Pregnant women are at higher risk of severe complications from influenza</w:t>
      </w:r>
    </w:p>
    <w:p w14:paraId="3720C3F6" w14:textId="77777777" w:rsidR="00DD694D" w:rsidRPr="00DD694D" w:rsidRDefault="00B70E0E" w:rsidP="00DD694D">
      <w:pPr>
        <w:pStyle w:val="ListParagraph"/>
        <w:numPr>
          <w:ilvl w:val="0"/>
          <w:numId w:val="7"/>
        </w:numPr>
        <w:rPr>
          <w:rFonts w:cs="Calibri"/>
          <w:color w:val="000000" w:themeColor="text1"/>
          <w:sz w:val="20"/>
          <w:szCs w:val="20"/>
        </w:rPr>
      </w:pPr>
      <w:r>
        <w:rPr>
          <w:rFonts w:cs="Calibri"/>
          <w:color w:val="000000" w:themeColor="text1"/>
          <w:sz w:val="20"/>
          <w:szCs w:val="20"/>
        </w:rPr>
        <w:t xml:space="preserve">Animal data: </w:t>
      </w:r>
      <w:r w:rsidR="00DD694D" w:rsidRPr="00DD694D">
        <w:rPr>
          <w:rFonts w:cs="Calibri"/>
          <w:color w:val="000000" w:themeColor="text1"/>
          <w:sz w:val="20"/>
          <w:szCs w:val="20"/>
        </w:rPr>
        <w:t>In animal reproduction studies, no adverse developmental effects were</w:t>
      </w:r>
    </w:p>
    <w:p w14:paraId="7F0A94CC" w14:textId="77777777" w:rsidR="00DD694D" w:rsidRPr="00DD694D" w:rsidRDefault="00DD694D" w:rsidP="0055125C">
      <w:pPr>
        <w:pStyle w:val="ListParagraph"/>
        <w:rPr>
          <w:rFonts w:cs="Calibri"/>
          <w:color w:val="000000" w:themeColor="text1"/>
          <w:sz w:val="20"/>
          <w:szCs w:val="20"/>
        </w:rPr>
      </w:pPr>
      <w:r w:rsidRPr="00DD694D">
        <w:rPr>
          <w:rFonts w:cs="Calibri"/>
          <w:color w:val="000000" w:themeColor="text1"/>
          <w:sz w:val="20"/>
          <w:szCs w:val="20"/>
        </w:rPr>
        <w:t>observed in rats or rabbits with oral administration of baloxavir marboxil at exposures approximately 5 (rats)</w:t>
      </w:r>
    </w:p>
    <w:p w14:paraId="4E520245" w14:textId="4C4F29FF" w:rsidR="00B70E0E" w:rsidRDefault="00DD694D" w:rsidP="0055125C">
      <w:pPr>
        <w:pStyle w:val="ListParagraph"/>
        <w:spacing w:after="0" w:line="240" w:lineRule="auto"/>
        <w:rPr>
          <w:rFonts w:cs="Calibri"/>
          <w:color w:val="000000" w:themeColor="text1"/>
          <w:sz w:val="20"/>
          <w:szCs w:val="20"/>
        </w:rPr>
      </w:pPr>
      <w:r w:rsidRPr="00DD694D">
        <w:rPr>
          <w:rFonts w:cs="Calibri"/>
          <w:color w:val="000000" w:themeColor="text1"/>
          <w:sz w:val="20"/>
          <w:szCs w:val="20"/>
        </w:rPr>
        <w:t>and 7 (rabbits) times the systemic baloxavir exposure at the maximum recommended human dose</w:t>
      </w:r>
    </w:p>
    <w:p w14:paraId="00F439D5" w14:textId="77777777" w:rsidR="002B2A4E" w:rsidRPr="00B22E4C" w:rsidRDefault="002B2A4E" w:rsidP="00200B80">
      <w:pPr>
        <w:pStyle w:val="ListParagraph"/>
        <w:numPr>
          <w:ilvl w:val="0"/>
          <w:numId w:val="7"/>
        </w:numPr>
        <w:spacing w:after="0" w:line="240" w:lineRule="auto"/>
        <w:rPr>
          <w:rFonts w:cs="Calibri"/>
          <w:color w:val="000000" w:themeColor="text1"/>
          <w:sz w:val="20"/>
          <w:szCs w:val="20"/>
        </w:rPr>
      </w:pPr>
      <w:r>
        <w:rPr>
          <w:rFonts w:cs="Calibri"/>
          <w:color w:val="000000" w:themeColor="text1"/>
          <w:sz w:val="20"/>
          <w:szCs w:val="20"/>
        </w:rPr>
        <w:t>Although not preferred, if benefit outweighs the risk of using baloxavir in pregnancy, use may be considered.</w:t>
      </w:r>
    </w:p>
    <w:p w14:paraId="2C68245B" w14:textId="77777777" w:rsidR="00200B80" w:rsidRPr="00B22E4C" w:rsidRDefault="00200B80" w:rsidP="00200B80">
      <w:pPr>
        <w:pStyle w:val="ListParagraph"/>
        <w:numPr>
          <w:ilvl w:val="0"/>
          <w:numId w:val="6"/>
        </w:numPr>
        <w:spacing w:after="0" w:line="240" w:lineRule="auto"/>
        <w:rPr>
          <w:rFonts w:cs="Calibri"/>
          <w:color w:val="000000" w:themeColor="text1"/>
          <w:sz w:val="20"/>
          <w:szCs w:val="20"/>
        </w:rPr>
      </w:pPr>
      <w:r w:rsidRPr="00B22E4C">
        <w:rPr>
          <w:rFonts w:cs="Calibri"/>
          <w:color w:val="000000" w:themeColor="text1"/>
          <w:sz w:val="20"/>
          <w:szCs w:val="20"/>
        </w:rPr>
        <w:t xml:space="preserve">Nursing mothers: </w:t>
      </w:r>
    </w:p>
    <w:p w14:paraId="32479069" w14:textId="77777777" w:rsidR="00200B80" w:rsidRPr="00B22E4C" w:rsidRDefault="00200B80" w:rsidP="00200B80">
      <w:pPr>
        <w:pStyle w:val="ListParagraph"/>
        <w:numPr>
          <w:ilvl w:val="0"/>
          <w:numId w:val="8"/>
        </w:numPr>
        <w:spacing w:after="0" w:line="240" w:lineRule="auto"/>
        <w:rPr>
          <w:rFonts w:cs="Calibri"/>
          <w:color w:val="000000" w:themeColor="text1"/>
          <w:sz w:val="20"/>
          <w:szCs w:val="20"/>
        </w:rPr>
      </w:pPr>
      <w:r w:rsidRPr="00B22E4C">
        <w:rPr>
          <w:rFonts w:cs="Calibri"/>
          <w:color w:val="000000" w:themeColor="text1"/>
          <w:sz w:val="20"/>
          <w:szCs w:val="20"/>
        </w:rPr>
        <w:t>No data on the presence of baloxavir in human milk, the effects on the breastfed infant, or the effects on milk production</w:t>
      </w:r>
    </w:p>
    <w:p w14:paraId="1AE8B6E4" w14:textId="571F7B7F" w:rsidR="00200B80" w:rsidRPr="0055125C" w:rsidRDefault="002B2A4E" w:rsidP="0055125C">
      <w:pPr>
        <w:pStyle w:val="ListParagraph"/>
        <w:numPr>
          <w:ilvl w:val="0"/>
          <w:numId w:val="8"/>
        </w:numPr>
        <w:spacing w:after="0" w:line="240" w:lineRule="auto"/>
        <w:rPr>
          <w:rFonts w:cs="Calibri"/>
          <w:color w:val="000000" w:themeColor="text1"/>
          <w:sz w:val="20"/>
          <w:szCs w:val="20"/>
        </w:rPr>
      </w:pPr>
      <w:r w:rsidRPr="00DD694D">
        <w:rPr>
          <w:rFonts w:cs="Calibri"/>
          <w:color w:val="000000" w:themeColor="text1"/>
          <w:sz w:val="20"/>
          <w:szCs w:val="20"/>
        </w:rPr>
        <w:t xml:space="preserve">Animal data: </w:t>
      </w:r>
      <w:r w:rsidR="00DD694D" w:rsidRPr="00DD694D">
        <w:rPr>
          <w:rFonts w:cs="Calibri"/>
          <w:color w:val="000000" w:themeColor="text1"/>
          <w:sz w:val="20"/>
          <w:szCs w:val="20"/>
        </w:rPr>
        <w:t>In a lactation study, baloxavir and its related metabolites were excreted in the milk of lactating rats administered baloxavir with peak milk concentration approximately 5 times that of maternal plasma concentrations occurring 2 hours post-dose. No effects of baloxavir on growth and postnatal development were observed in nursing pups at the highest oral dose tested in rats. Maternal systemic exposure was approximately 5 times the baloxavir exposure in humans at the maximum recommended human dose.</w:t>
      </w:r>
    </w:p>
    <w:p w14:paraId="6CBCFC74" w14:textId="77777777" w:rsidR="002B2A4E" w:rsidRPr="00B22E4C" w:rsidRDefault="002B2A4E" w:rsidP="00200B80">
      <w:pPr>
        <w:pStyle w:val="ListParagraph"/>
        <w:numPr>
          <w:ilvl w:val="0"/>
          <w:numId w:val="8"/>
        </w:numPr>
        <w:spacing w:after="0" w:line="240" w:lineRule="auto"/>
        <w:rPr>
          <w:rFonts w:cs="Calibri"/>
          <w:color w:val="000000" w:themeColor="text1"/>
          <w:sz w:val="20"/>
          <w:szCs w:val="20"/>
        </w:rPr>
      </w:pPr>
      <w:r>
        <w:rPr>
          <w:rFonts w:cs="Calibri"/>
          <w:color w:val="000000" w:themeColor="text1"/>
          <w:sz w:val="20"/>
          <w:szCs w:val="20"/>
        </w:rPr>
        <w:t>Although not preferred, if benefit outweighs the risk of using baloxavir in nursing mothers, use may be considered.</w:t>
      </w:r>
    </w:p>
    <w:p w14:paraId="292DCDC0" w14:textId="77777777" w:rsidR="00200B80" w:rsidRPr="00B22E4C" w:rsidRDefault="00200B80" w:rsidP="00200B80">
      <w:pPr>
        <w:pStyle w:val="ListParagraph"/>
        <w:numPr>
          <w:ilvl w:val="0"/>
          <w:numId w:val="6"/>
        </w:numPr>
        <w:autoSpaceDE w:val="0"/>
        <w:autoSpaceDN w:val="0"/>
        <w:adjustRightInd w:val="0"/>
        <w:spacing w:after="0" w:line="240" w:lineRule="auto"/>
        <w:rPr>
          <w:rFonts w:cs="Calibri"/>
          <w:color w:val="000000" w:themeColor="text1"/>
          <w:sz w:val="20"/>
          <w:szCs w:val="20"/>
        </w:rPr>
      </w:pPr>
      <w:r w:rsidRPr="00B22E4C">
        <w:rPr>
          <w:rFonts w:cs="Calibri"/>
          <w:color w:val="000000" w:themeColor="text1"/>
          <w:sz w:val="20"/>
          <w:szCs w:val="20"/>
        </w:rPr>
        <w:t xml:space="preserve">Pediatric use: </w:t>
      </w:r>
    </w:p>
    <w:p w14:paraId="5D3B0FE5" w14:textId="77777777" w:rsidR="00200B80" w:rsidRPr="00B22E4C" w:rsidRDefault="00200B80" w:rsidP="00200B80">
      <w:pPr>
        <w:pStyle w:val="ListParagraph"/>
        <w:numPr>
          <w:ilvl w:val="0"/>
          <w:numId w:val="9"/>
        </w:numPr>
        <w:spacing w:after="0" w:line="240" w:lineRule="auto"/>
        <w:rPr>
          <w:rFonts w:cs="Calibri"/>
          <w:color w:val="000000" w:themeColor="text1"/>
          <w:sz w:val="20"/>
          <w:szCs w:val="20"/>
        </w:rPr>
      </w:pPr>
      <w:r w:rsidRPr="00B22E4C">
        <w:rPr>
          <w:rFonts w:cs="Calibri"/>
          <w:color w:val="000000" w:themeColor="text1"/>
          <w:sz w:val="20"/>
          <w:szCs w:val="20"/>
        </w:rPr>
        <w:t xml:space="preserve">Safety and effectiveness of baloxavir for the treatment of influenza have been established in pediatric patients </w:t>
      </w:r>
      <w:r w:rsidRPr="00B22E4C">
        <w:rPr>
          <w:rFonts w:cs="Calibri"/>
          <w:color w:val="000000" w:themeColor="text1"/>
          <w:sz w:val="20"/>
          <w:szCs w:val="20"/>
          <w:u w:val="single"/>
        </w:rPr>
        <w:t>&gt;</w:t>
      </w:r>
      <w:r w:rsidRPr="00B22E4C">
        <w:rPr>
          <w:rFonts w:cs="Calibri"/>
          <w:color w:val="000000" w:themeColor="text1"/>
          <w:sz w:val="20"/>
          <w:szCs w:val="20"/>
        </w:rPr>
        <w:t xml:space="preserve">12 years of age weighing </w:t>
      </w:r>
      <w:r w:rsidRPr="00B22E4C">
        <w:rPr>
          <w:rFonts w:cs="Calibri"/>
          <w:color w:val="000000" w:themeColor="text1"/>
          <w:sz w:val="20"/>
          <w:szCs w:val="20"/>
          <w:u w:val="single"/>
        </w:rPr>
        <w:t>&gt;</w:t>
      </w:r>
      <w:r w:rsidRPr="00B22E4C">
        <w:rPr>
          <w:rFonts w:cs="Calibri"/>
          <w:color w:val="000000" w:themeColor="text1"/>
          <w:sz w:val="20"/>
          <w:szCs w:val="20"/>
        </w:rPr>
        <w:t>40 kg</w:t>
      </w:r>
    </w:p>
    <w:p w14:paraId="3DDDB988" w14:textId="77777777" w:rsidR="00200B80" w:rsidRPr="00B22E4C" w:rsidRDefault="00200B80" w:rsidP="00200B80">
      <w:pPr>
        <w:pStyle w:val="ListParagraph"/>
        <w:numPr>
          <w:ilvl w:val="0"/>
          <w:numId w:val="9"/>
        </w:numPr>
        <w:spacing w:after="0" w:line="240" w:lineRule="auto"/>
        <w:rPr>
          <w:rFonts w:cs="Calibri"/>
          <w:color w:val="000000" w:themeColor="text1"/>
          <w:sz w:val="20"/>
          <w:szCs w:val="20"/>
        </w:rPr>
      </w:pPr>
      <w:r w:rsidRPr="00B22E4C">
        <w:rPr>
          <w:rFonts w:cs="Calibri"/>
          <w:color w:val="000000" w:themeColor="text1"/>
          <w:sz w:val="20"/>
          <w:szCs w:val="20"/>
        </w:rPr>
        <w:t>Adverse reactions reported in adolescents were similar to those reported in adults</w:t>
      </w:r>
    </w:p>
    <w:p w14:paraId="7E235B1D" w14:textId="77777777" w:rsidR="00200B80" w:rsidRPr="00B22E4C" w:rsidRDefault="00200B80" w:rsidP="00200B80">
      <w:pPr>
        <w:pStyle w:val="ListParagraph"/>
        <w:numPr>
          <w:ilvl w:val="0"/>
          <w:numId w:val="6"/>
        </w:numPr>
        <w:spacing w:after="0" w:line="240" w:lineRule="auto"/>
        <w:rPr>
          <w:rFonts w:cs="Calibri"/>
          <w:color w:val="000000" w:themeColor="text1"/>
          <w:sz w:val="20"/>
          <w:szCs w:val="20"/>
        </w:rPr>
      </w:pPr>
      <w:r w:rsidRPr="00B22E4C">
        <w:rPr>
          <w:rFonts w:cs="Calibri"/>
          <w:color w:val="000000" w:themeColor="text1"/>
          <w:sz w:val="20"/>
          <w:szCs w:val="20"/>
        </w:rPr>
        <w:t xml:space="preserve">Geriatric use: </w:t>
      </w:r>
    </w:p>
    <w:p w14:paraId="2D6B5708" w14:textId="77777777" w:rsidR="00200B80" w:rsidRPr="00B22E4C" w:rsidRDefault="00200B80" w:rsidP="00200B80">
      <w:pPr>
        <w:pStyle w:val="ListParagraph"/>
        <w:numPr>
          <w:ilvl w:val="0"/>
          <w:numId w:val="11"/>
        </w:numPr>
        <w:spacing w:after="0" w:line="240" w:lineRule="auto"/>
        <w:rPr>
          <w:rFonts w:cs="Calibri"/>
          <w:color w:val="000000" w:themeColor="text1"/>
          <w:sz w:val="20"/>
          <w:szCs w:val="20"/>
        </w:rPr>
      </w:pPr>
      <w:r w:rsidRPr="00B22E4C">
        <w:rPr>
          <w:rFonts w:cs="Calibri"/>
          <w:color w:val="000000" w:themeColor="text1"/>
          <w:sz w:val="20"/>
          <w:szCs w:val="20"/>
        </w:rPr>
        <w:t xml:space="preserve">Clinical trials did not include patients </w:t>
      </w:r>
      <w:r w:rsidRPr="00B22E4C">
        <w:rPr>
          <w:rFonts w:cs="Calibri"/>
          <w:color w:val="000000" w:themeColor="text1"/>
          <w:sz w:val="20"/>
          <w:szCs w:val="20"/>
          <w:u w:val="single"/>
        </w:rPr>
        <w:t>&gt;</w:t>
      </w:r>
      <w:r w:rsidRPr="00B22E4C">
        <w:rPr>
          <w:rFonts w:cs="Calibri"/>
          <w:color w:val="000000" w:themeColor="text1"/>
          <w:sz w:val="20"/>
          <w:szCs w:val="20"/>
        </w:rPr>
        <w:t>65 years</w:t>
      </w:r>
    </w:p>
    <w:p w14:paraId="09F68C2D" w14:textId="77777777" w:rsidR="00200B80" w:rsidRPr="00B22E4C" w:rsidRDefault="00200B80" w:rsidP="00200B80">
      <w:pPr>
        <w:pStyle w:val="ListParagraph"/>
        <w:numPr>
          <w:ilvl w:val="0"/>
          <w:numId w:val="6"/>
        </w:numPr>
        <w:spacing w:after="0" w:line="240" w:lineRule="auto"/>
        <w:rPr>
          <w:rFonts w:cs="Calibri"/>
          <w:color w:val="000000" w:themeColor="text1"/>
          <w:sz w:val="20"/>
          <w:szCs w:val="20"/>
        </w:rPr>
      </w:pPr>
      <w:r w:rsidRPr="00B22E4C">
        <w:rPr>
          <w:rFonts w:cs="Calibri"/>
          <w:color w:val="000000" w:themeColor="text1"/>
          <w:sz w:val="20"/>
          <w:szCs w:val="20"/>
        </w:rPr>
        <w:t xml:space="preserve">Administration: </w:t>
      </w:r>
    </w:p>
    <w:p w14:paraId="526C4BA6" w14:textId="77777777" w:rsidR="004C0E0C" w:rsidRPr="00B22E4C" w:rsidRDefault="00200B80" w:rsidP="004C0E0C">
      <w:pPr>
        <w:pStyle w:val="ListParagraph"/>
        <w:numPr>
          <w:ilvl w:val="0"/>
          <w:numId w:val="10"/>
        </w:numPr>
        <w:spacing w:after="0" w:line="240" w:lineRule="auto"/>
        <w:rPr>
          <w:rFonts w:cs="Calibri"/>
          <w:color w:val="FF0000"/>
          <w:sz w:val="20"/>
          <w:szCs w:val="20"/>
        </w:rPr>
      </w:pPr>
      <w:r w:rsidRPr="00B22E4C">
        <w:rPr>
          <w:rFonts w:cs="Calibri"/>
          <w:color w:val="000000" w:themeColor="text1"/>
          <w:sz w:val="20"/>
          <w:szCs w:val="20"/>
        </w:rPr>
        <w:t>PO as a single dose without regard for food</w:t>
      </w:r>
    </w:p>
    <w:p w14:paraId="1F9F0D14" w14:textId="17208911" w:rsidR="00200B80" w:rsidRPr="00C0297D" w:rsidRDefault="00200B80" w:rsidP="004C0E0C">
      <w:pPr>
        <w:pStyle w:val="ListParagraph"/>
        <w:numPr>
          <w:ilvl w:val="0"/>
          <w:numId w:val="10"/>
        </w:numPr>
        <w:spacing w:after="0" w:line="240" w:lineRule="auto"/>
        <w:rPr>
          <w:rFonts w:cs="Calibri"/>
          <w:color w:val="FF0000"/>
          <w:sz w:val="20"/>
          <w:szCs w:val="20"/>
        </w:rPr>
      </w:pPr>
      <w:r w:rsidRPr="00B22E4C">
        <w:rPr>
          <w:rFonts w:cs="Calibri"/>
          <w:color w:val="000000" w:themeColor="text1"/>
          <w:sz w:val="20"/>
          <w:szCs w:val="20"/>
        </w:rPr>
        <w:t>Avoid co-administration with dairy products, calcium-fortified beverages, polyvalent cation-containing laxatives, antacids, or oral supplements (e.g., calcium, iron, magnesium, selenium, or zinc)</w:t>
      </w:r>
    </w:p>
    <w:p w14:paraId="56371EA7" w14:textId="7234EE68" w:rsidR="00C0297D" w:rsidRPr="00C0297D" w:rsidRDefault="00C0297D" w:rsidP="00C0297D">
      <w:pPr>
        <w:pStyle w:val="ListParagraph"/>
        <w:numPr>
          <w:ilvl w:val="1"/>
          <w:numId w:val="10"/>
        </w:numPr>
        <w:spacing w:after="0" w:line="240" w:lineRule="auto"/>
        <w:rPr>
          <w:rFonts w:cs="Calibri"/>
          <w:sz w:val="20"/>
          <w:szCs w:val="20"/>
        </w:rPr>
      </w:pPr>
      <w:r w:rsidRPr="0055125C">
        <w:rPr>
          <w:rFonts w:cs="Calibri"/>
          <w:sz w:val="20"/>
          <w:szCs w:val="20"/>
        </w:rPr>
        <w:lastRenderedPageBreak/>
        <w:t>Due to lack of specific instructions in the package insert, we recommend administering baloxavir 2 hours before or 4 hours after administration of polyvalent cations, which is aligned with other medications with similar drug interactions.</w:t>
      </w:r>
    </w:p>
    <w:p w14:paraId="33C56FB7" w14:textId="77777777" w:rsidR="008B772B" w:rsidRPr="00B22E4C" w:rsidRDefault="008B772B" w:rsidP="008B772B">
      <w:pPr>
        <w:rPr>
          <w:rFonts w:asciiTheme="minorHAnsi" w:hAnsiTheme="minorHAnsi" w:cstheme="minorHAnsi"/>
          <w:b/>
          <w:sz w:val="20"/>
          <w:szCs w:val="20"/>
        </w:rPr>
      </w:pPr>
    </w:p>
    <w:p w14:paraId="385B82D8" w14:textId="77777777" w:rsidR="008B772B" w:rsidRPr="00B22E4C" w:rsidRDefault="008B772B" w:rsidP="008B772B">
      <w:pPr>
        <w:rPr>
          <w:rFonts w:asciiTheme="minorHAnsi" w:hAnsiTheme="minorHAnsi" w:cstheme="minorHAnsi"/>
          <w:sz w:val="20"/>
          <w:szCs w:val="20"/>
        </w:rPr>
      </w:pPr>
      <w:r w:rsidRPr="00B22E4C">
        <w:rPr>
          <w:rFonts w:asciiTheme="minorHAnsi" w:hAnsiTheme="minorHAnsi" w:cstheme="minorHAnsi"/>
          <w:b/>
          <w:sz w:val="20"/>
          <w:szCs w:val="20"/>
        </w:rPr>
        <w:t>Availability and Cost</w:t>
      </w:r>
    </w:p>
    <w:tbl>
      <w:tblPr>
        <w:tblW w:w="95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35"/>
        <w:gridCol w:w="1448"/>
        <w:gridCol w:w="924"/>
        <w:gridCol w:w="924"/>
        <w:gridCol w:w="1260"/>
        <w:gridCol w:w="1137"/>
        <w:gridCol w:w="1260"/>
        <w:gridCol w:w="1180"/>
      </w:tblGrid>
      <w:tr w:rsidR="00DF3517" w:rsidRPr="00B22E4C" w14:paraId="5499ACFB" w14:textId="77777777" w:rsidTr="0055125C">
        <w:trPr>
          <w:jc w:val="center"/>
        </w:trPr>
        <w:tc>
          <w:tcPr>
            <w:tcW w:w="1435" w:type="dxa"/>
            <w:tcBorders>
              <w:top w:val="single" w:sz="4" w:space="0" w:color="000000"/>
              <w:left w:val="single" w:sz="4" w:space="0" w:color="000000"/>
              <w:bottom w:val="single" w:sz="4" w:space="0" w:color="000000"/>
              <w:right w:val="single" w:sz="4" w:space="0" w:color="000000"/>
            </w:tcBorders>
          </w:tcPr>
          <w:p w14:paraId="29B75743" w14:textId="77777777" w:rsidR="00DF3517" w:rsidRPr="00B22E4C" w:rsidRDefault="00DF3517" w:rsidP="00DF3517">
            <w:pPr>
              <w:rPr>
                <w:rFonts w:asciiTheme="minorHAnsi" w:hAnsiTheme="minorHAnsi" w:cstheme="minorHAnsi"/>
                <w:sz w:val="18"/>
                <w:szCs w:val="18"/>
              </w:rPr>
            </w:pPr>
          </w:p>
        </w:tc>
        <w:tc>
          <w:tcPr>
            <w:tcW w:w="1448" w:type="dxa"/>
            <w:tcBorders>
              <w:top w:val="single" w:sz="4" w:space="0" w:color="000000"/>
              <w:left w:val="single" w:sz="4" w:space="0" w:color="000000"/>
              <w:bottom w:val="single" w:sz="4" w:space="0" w:color="000000"/>
              <w:right w:val="single" w:sz="4" w:space="0" w:color="000000"/>
            </w:tcBorders>
          </w:tcPr>
          <w:p w14:paraId="799B610E" w14:textId="77777777" w:rsidR="00DF3517" w:rsidRPr="00B22E4C" w:rsidRDefault="00DF3517" w:rsidP="00DF3517">
            <w:pPr>
              <w:rPr>
                <w:rFonts w:asciiTheme="minorHAnsi" w:hAnsiTheme="minorHAnsi" w:cstheme="minorHAnsi"/>
                <w:sz w:val="18"/>
                <w:szCs w:val="18"/>
              </w:rPr>
            </w:pPr>
            <w:r w:rsidRPr="00B22E4C">
              <w:rPr>
                <w:rFonts w:asciiTheme="minorHAnsi" w:hAnsiTheme="minorHAnsi" w:cstheme="minorHAnsi"/>
                <w:sz w:val="18"/>
                <w:szCs w:val="18"/>
              </w:rPr>
              <w:t>Usual Dose*</w:t>
            </w:r>
          </w:p>
        </w:tc>
        <w:tc>
          <w:tcPr>
            <w:tcW w:w="924" w:type="dxa"/>
            <w:tcBorders>
              <w:top w:val="single" w:sz="4" w:space="0" w:color="000000"/>
              <w:left w:val="single" w:sz="4" w:space="0" w:color="000000"/>
              <w:bottom w:val="single" w:sz="4" w:space="0" w:color="000000"/>
              <w:right w:val="single" w:sz="4" w:space="0" w:color="000000"/>
            </w:tcBorders>
          </w:tcPr>
          <w:p w14:paraId="43AC3E58" w14:textId="19C1DE63" w:rsidR="00DF3517" w:rsidRPr="00B22E4C" w:rsidRDefault="00DF3517" w:rsidP="00DF3517">
            <w:pPr>
              <w:rPr>
                <w:rFonts w:asciiTheme="minorHAnsi" w:hAnsiTheme="minorHAnsi" w:cstheme="minorHAnsi"/>
                <w:sz w:val="18"/>
                <w:szCs w:val="18"/>
              </w:rPr>
            </w:pPr>
            <w:r w:rsidRPr="00B22E4C">
              <w:rPr>
                <w:rFonts w:asciiTheme="minorHAnsi" w:hAnsiTheme="minorHAnsi" w:cstheme="minorHAnsi"/>
                <w:sz w:val="18"/>
                <w:szCs w:val="18"/>
              </w:rPr>
              <w:t>UMHS Cost/Unit</w:t>
            </w:r>
          </w:p>
        </w:tc>
        <w:tc>
          <w:tcPr>
            <w:tcW w:w="924" w:type="dxa"/>
            <w:tcBorders>
              <w:top w:val="single" w:sz="4" w:space="0" w:color="000000"/>
              <w:left w:val="single" w:sz="4" w:space="0" w:color="000000"/>
              <w:bottom w:val="single" w:sz="4" w:space="0" w:color="000000"/>
              <w:right w:val="single" w:sz="4" w:space="0" w:color="000000"/>
            </w:tcBorders>
          </w:tcPr>
          <w:p w14:paraId="58E74D5F" w14:textId="339F41EC" w:rsidR="00DF3517" w:rsidRPr="00B22E4C" w:rsidRDefault="00DF3517" w:rsidP="00DF3517">
            <w:pPr>
              <w:rPr>
                <w:rFonts w:asciiTheme="minorHAnsi" w:hAnsiTheme="minorHAnsi" w:cstheme="minorHAnsi"/>
                <w:sz w:val="18"/>
                <w:szCs w:val="18"/>
              </w:rPr>
            </w:pPr>
            <w:r w:rsidRPr="00B22E4C">
              <w:rPr>
                <w:rFonts w:asciiTheme="minorHAnsi" w:hAnsiTheme="minorHAnsi" w:cstheme="minorHAnsi"/>
                <w:sz w:val="18"/>
                <w:szCs w:val="18"/>
              </w:rPr>
              <w:t>UMHS Cost/Day</w:t>
            </w:r>
          </w:p>
        </w:tc>
        <w:tc>
          <w:tcPr>
            <w:tcW w:w="12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EA6B5FC" w14:textId="77777777" w:rsidR="00DF3517" w:rsidRPr="00B22E4C" w:rsidRDefault="00DF3517" w:rsidP="00DF3517">
            <w:pPr>
              <w:rPr>
                <w:rFonts w:asciiTheme="minorHAnsi" w:hAnsiTheme="minorHAnsi" w:cstheme="minorHAnsi"/>
                <w:sz w:val="18"/>
                <w:szCs w:val="18"/>
              </w:rPr>
            </w:pPr>
            <w:r w:rsidRPr="00B22E4C">
              <w:rPr>
                <w:rFonts w:asciiTheme="minorHAnsi" w:hAnsiTheme="minorHAnsi" w:cstheme="minorHAnsi"/>
                <w:sz w:val="18"/>
                <w:szCs w:val="18"/>
              </w:rPr>
              <w:t>UMHS Cost*/Course</w:t>
            </w:r>
          </w:p>
        </w:tc>
        <w:tc>
          <w:tcPr>
            <w:tcW w:w="1137" w:type="dxa"/>
            <w:tcBorders>
              <w:top w:val="single" w:sz="4" w:space="0" w:color="000000"/>
              <w:left w:val="single" w:sz="4" w:space="0" w:color="000000"/>
              <w:bottom w:val="single" w:sz="4" w:space="0" w:color="000000"/>
              <w:right w:val="single" w:sz="4" w:space="0" w:color="000000"/>
            </w:tcBorders>
            <w:hideMark/>
          </w:tcPr>
          <w:p w14:paraId="5CA072EA" w14:textId="77777777" w:rsidR="00DF3517" w:rsidRPr="00B22E4C" w:rsidRDefault="00DF3517" w:rsidP="00DF3517">
            <w:pPr>
              <w:rPr>
                <w:rFonts w:asciiTheme="minorHAnsi" w:hAnsiTheme="minorHAnsi" w:cstheme="minorHAnsi"/>
                <w:sz w:val="18"/>
                <w:szCs w:val="18"/>
              </w:rPr>
            </w:pPr>
            <w:r w:rsidRPr="00B22E4C">
              <w:rPr>
                <w:rFonts w:asciiTheme="minorHAnsi" w:hAnsiTheme="minorHAnsi" w:cstheme="minorHAnsi"/>
                <w:sz w:val="18"/>
                <w:szCs w:val="18"/>
              </w:rPr>
              <w:t>AWP Cost/Unit</w:t>
            </w:r>
          </w:p>
        </w:tc>
        <w:tc>
          <w:tcPr>
            <w:tcW w:w="1260" w:type="dxa"/>
            <w:tcBorders>
              <w:top w:val="single" w:sz="4" w:space="0" w:color="000000"/>
              <w:left w:val="single" w:sz="4" w:space="0" w:color="000000"/>
              <w:bottom w:val="single" w:sz="4" w:space="0" w:color="000000"/>
              <w:right w:val="single" w:sz="4" w:space="0" w:color="000000"/>
            </w:tcBorders>
            <w:hideMark/>
          </w:tcPr>
          <w:p w14:paraId="12656A48" w14:textId="77777777" w:rsidR="00DF3517" w:rsidRPr="00B22E4C" w:rsidRDefault="00DF3517" w:rsidP="00DF3517">
            <w:pPr>
              <w:jc w:val="center"/>
              <w:rPr>
                <w:rFonts w:asciiTheme="minorHAnsi" w:hAnsiTheme="minorHAnsi" w:cstheme="minorHAnsi"/>
                <w:sz w:val="18"/>
                <w:szCs w:val="18"/>
              </w:rPr>
            </w:pPr>
            <w:r w:rsidRPr="00B22E4C">
              <w:rPr>
                <w:rFonts w:asciiTheme="minorHAnsi" w:hAnsiTheme="minorHAnsi" w:cstheme="minorHAnsi"/>
                <w:sz w:val="18"/>
                <w:szCs w:val="18"/>
              </w:rPr>
              <w:t>AWP Cost/Day</w:t>
            </w:r>
          </w:p>
        </w:tc>
        <w:tc>
          <w:tcPr>
            <w:tcW w:w="1180" w:type="dxa"/>
            <w:tcBorders>
              <w:top w:val="single" w:sz="4" w:space="0" w:color="000000"/>
              <w:left w:val="single" w:sz="4" w:space="0" w:color="000000"/>
              <w:bottom w:val="single" w:sz="4" w:space="0" w:color="000000"/>
              <w:right w:val="single" w:sz="4" w:space="0" w:color="000000"/>
            </w:tcBorders>
            <w:hideMark/>
          </w:tcPr>
          <w:p w14:paraId="57AAF584" w14:textId="77777777" w:rsidR="00DF3517" w:rsidRPr="00B22E4C" w:rsidRDefault="00DF3517" w:rsidP="00DF3517">
            <w:pPr>
              <w:jc w:val="center"/>
              <w:rPr>
                <w:rFonts w:asciiTheme="minorHAnsi" w:hAnsiTheme="minorHAnsi" w:cstheme="minorHAnsi"/>
                <w:sz w:val="18"/>
                <w:szCs w:val="18"/>
              </w:rPr>
            </w:pPr>
            <w:r w:rsidRPr="00B22E4C">
              <w:rPr>
                <w:rFonts w:asciiTheme="minorHAnsi" w:hAnsiTheme="minorHAnsi" w:cstheme="minorHAnsi"/>
                <w:sz w:val="18"/>
                <w:szCs w:val="18"/>
              </w:rPr>
              <w:t>AWP Cost/Course</w:t>
            </w:r>
          </w:p>
        </w:tc>
      </w:tr>
      <w:tr w:rsidR="00DF3517" w:rsidRPr="00B22E4C" w14:paraId="147F3B38" w14:textId="77777777" w:rsidTr="0055125C">
        <w:trPr>
          <w:jc w:val="center"/>
        </w:trPr>
        <w:tc>
          <w:tcPr>
            <w:tcW w:w="1435" w:type="dxa"/>
            <w:tcBorders>
              <w:top w:val="single" w:sz="4" w:space="0" w:color="000000"/>
              <w:left w:val="single" w:sz="4" w:space="0" w:color="000000"/>
              <w:bottom w:val="single" w:sz="4" w:space="0" w:color="000000"/>
              <w:right w:val="single" w:sz="4" w:space="0" w:color="000000"/>
            </w:tcBorders>
          </w:tcPr>
          <w:p w14:paraId="268E05D5" w14:textId="77777777" w:rsidR="00DF3517" w:rsidRPr="00B22E4C" w:rsidRDefault="00DF3517" w:rsidP="00DF3517">
            <w:pPr>
              <w:rPr>
                <w:rFonts w:asciiTheme="minorHAnsi" w:hAnsiTheme="minorHAnsi" w:cstheme="minorHAnsi"/>
                <w:sz w:val="18"/>
                <w:szCs w:val="18"/>
              </w:rPr>
            </w:pPr>
            <w:r w:rsidRPr="00B22E4C">
              <w:rPr>
                <w:rFonts w:asciiTheme="minorHAnsi" w:hAnsiTheme="minorHAnsi" w:cstheme="minorHAnsi"/>
                <w:sz w:val="18"/>
                <w:szCs w:val="18"/>
              </w:rPr>
              <w:t>Baloxavir 40 mg tablet</w:t>
            </w:r>
          </w:p>
        </w:tc>
        <w:tc>
          <w:tcPr>
            <w:tcW w:w="1448" w:type="dxa"/>
            <w:tcBorders>
              <w:top w:val="single" w:sz="4" w:space="0" w:color="000000"/>
              <w:left w:val="single" w:sz="4" w:space="0" w:color="000000"/>
              <w:bottom w:val="single" w:sz="4" w:space="0" w:color="000000"/>
              <w:right w:val="single" w:sz="4" w:space="0" w:color="000000"/>
            </w:tcBorders>
          </w:tcPr>
          <w:p w14:paraId="31827E64" w14:textId="77777777" w:rsidR="00DF3517" w:rsidRPr="00B22E4C" w:rsidRDefault="00DF3517" w:rsidP="00DF3517">
            <w:pPr>
              <w:rPr>
                <w:rFonts w:asciiTheme="minorHAnsi" w:hAnsiTheme="minorHAnsi" w:cstheme="minorHAnsi"/>
                <w:sz w:val="18"/>
                <w:szCs w:val="18"/>
              </w:rPr>
            </w:pPr>
            <w:r w:rsidRPr="00B22E4C">
              <w:rPr>
                <w:rFonts w:asciiTheme="minorHAnsi" w:hAnsiTheme="minorHAnsi" w:cstheme="minorHAnsi"/>
                <w:sz w:val="18"/>
                <w:szCs w:val="18"/>
              </w:rPr>
              <w:t>40 mg if &lt;80 kg</w:t>
            </w:r>
          </w:p>
          <w:p w14:paraId="76379D23" w14:textId="77777777" w:rsidR="00DF3517" w:rsidRPr="00B22E4C" w:rsidRDefault="00DF3517" w:rsidP="00DF3517">
            <w:pPr>
              <w:rPr>
                <w:rFonts w:asciiTheme="minorHAnsi" w:hAnsiTheme="minorHAnsi" w:cstheme="minorHAnsi"/>
                <w:sz w:val="18"/>
                <w:szCs w:val="18"/>
              </w:rPr>
            </w:pPr>
            <w:r w:rsidRPr="00B22E4C">
              <w:rPr>
                <w:rFonts w:asciiTheme="minorHAnsi" w:hAnsiTheme="minorHAnsi" w:cstheme="minorHAnsi"/>
                <w:sz w:val="18"/>
                <w:szCs w:val="18"/>
              </w:rPr>
              <w:t xml:space="preserve">80 mg if </w:t>
            </w:r>
            <w:r w:rsidRPr="00B22E4C">
              <w:rPr>
                <w:rFonts w:asciiTheme="minorHAnsi" w:hAnsiTheme="minorHAnsi" w:cstheme="minorHAnsi"/>
                <w:sz w:val="18"/>
                <w:szCs w:val="18"/>
                <w:u w:val="single"/>
              </w:rPr>
              <w:t>&gt;</w:t>
            </w:r>
            <w:r w:rsidRPr="00B22E4C">
              <w:rPr>
                <w:rFonts w:asciiTheme="minorHAnsi" w:hAnsiTheme="minorHAnsi" w:cstheme="minorHAnsi"/>
                <w:sz w:val="18"/>
                <w:szCs w:val="18"/>
              </w:rPr>
              <w:t>80 kg</w:t>
            </w:r>
          </w:p>
        </w:tc>
        <w:tc>
          <w:tcPr>
            <w:tcW w:w="924" w:type="dxa"/>
            <w:tcBorders>
              <w:top w:val="single" w:sz="4" w:space="0" w:color="000000"/>
              <w:left w:val="single" w:sz="4" w:space="0" w:color="000000"/>
              <w:bottom w:val="single" w:sz="4" w:space="0" w:color="000000"/>
              <w:right w:val="single" w:sz="4" w:space="0" w:color="000000"/>
            </w:tcBorders>
          </w:tcPr>
          <w:p w14:paraId="3D7D488B" w14:textId="77777777" w:rsidR="00DF3517" w:rsidRPr="00B22E4C" w:rsidRDefault="00DF3517" w:rsidP="00DF3517">
            <w:pPr>
              <w:rPr>
                <w:rFonts w:asciiTheme="minorHAnsi" w:hAnsiTheme="minorHAnsi" w:cstheme="minorHAnsi"/>
                <w:sz w:val="20"/>
                <w:szCs w:val="20"/>
                <w:vertAlign w:val="superscript"/>
              </w:rPr>
            </w:pPr>
            <w:r w:rsidRPr="00B22E4C">
              <w:rPr>
                <w:rFonts w:asciiTheme="minorHAnsi" w:hAnsiTheme="minorHAnsi" w:cstheme="minorHAnsi"/>
                <w:sz w:val="18"/>
                <w:szCs w:val="18"/>
              </w:rPr>
              <w:t>$68.98</w:t>
            </w:r>
            <w:r w:rsidRPr="00B22E4C">
              <w:rPr>
                <w:rFonts w:asciiTheme="minorHAnsi" w:hAnsiTheme="minorHAnsi" w:cstheme="minorHAnsi"/>
                <w:sz w:val="20"/>
                <w:szCs w:val="20"/>
                <w:vertAlign w:val="superscript"/>
              </w:rPr>
              <w:t xml:space="preserve"> a</w:t>
            </w:r>
          </w:p>
          <w:p w14:paraId="5D2DDE90" w14:textId="0A54C867" w:rsidR="00DF3517" w:rsidRPr="00B22E4C" w:rsidRDefault="00DF3517" w:rsidP="00DF3517">
            <w:pPr>
              <w:rPr>
                <w:rFonts w:asciiTheme="minorHAnsi" w:hAnsiTheme="minorHAnsi" w:cstheme="minorHAnsi"/>
                <w:sz w:val="18"/>
                <w:szCs w:val="18"/>
              </w:rPr>
            </w:pPr>
            <w:r w:rsidRPr="00B22E4C">
              <w:rPr>
                <w:rFonts w:asciiTheme="minorHAnsi" w:hAnsiTheme="minorHAnsi" w:cstheme="minorHAnsi"/>
                <w:sz w:val="18"/>
                <w:szCs w:val="18"/>
              </w:rPr>
              <w:t>$137.96</w:t>
            </w:r>
            <w:r w:rsidRPr="00B22E4C">
              <w:rPr>
                <w:rFonts w:asciiTheme="minorHAnsi" w:hAnsiTheme="minorHAnsi" w:cstheme="minorHAnsi"/>
                <w:sz w:val="20"/>
                <w:szCs w:val="20"/>
                <w:vertAlign w:val="superscript"/>
              </w:rPr>
              <w:t xml:space="preserve"> b</w:t>
            </w:r>
          </w:p>
        </w:tc>
        <w:tc>
          <w:tcPr>
            <w:tcW w:w="924" w:type="dxa"/>
            <w:tcBorders>
              <w:top w:val="single" w:sz="4" w:space="0" w:color="000000"/>
              <w:left w:val="single" w:sz="4" w:space="0" w:color="000000"/>
              <w:bottom w:val="single" w:sz="4" w:space="0" w:color="000000"/>
              <w:right w:val="single" w:sz="4" w:space="0" w:color="000000"/>
            </w:tcBorders>
          </w:tcPr>
          <w:p w14:paraId="4E944D9C" w14:textId="3D060684" w:rsidR="00DF3517" w:rsidRPr="00B22E4C" w:rsidRDefault="00DF3517" w:rsidP="00DF3517">
            <w:pPr>
              <w:rPr>
                <w:rFonts w:asciiTheme="minorHAnsi" w:hAnsiTheme="minorHAnsi" w:cstheme="minorHAnsi"/>
                <w:sz w:val="18"/>
                <w:szCs w:val="18"/>
              </w:rPr>
            </w:pPr>
            <w:r w:rsidRPr="00B22E4C">
              <w:rPr>
                <w:rFonts w:asciiTheme="minorHAnsi" w:hAnsiTheme="minorHAnsi" w:cstheme="minorHAnsi"/>
                <w:sz w:val="18"/>
                <w:szCs w:val="18"/>
              </w:rPr>
              <w:t>$68.98</w:t>
            </w:r>
            <w:r w:rsidRPr="00B22E4C">
              <w:rPr>
                <w:rFonts w:asciiTheme="minorHAnsi" w:hAnsiTheme="minorHAnsi" w:cstheme="minorHAnsi"/>
                <w:sz w:val="20"/>
                <w:szCs w:val="20"/>
                <w:vertAlign w:val="superscript"/>
              </w:rPr>
              <w:t xml:space="preserve"> a</w:t>
            </w:r>
          </w:p>
          <w:p w14:paraId="2A724A4A" w14:textId="77777777" w:rsidR="00DF3517" w:rsidRPr="00B22E4C" w:rsidRDefault="00DF3517" w:rsidP="00DF3517">
            <w:pPr>
              <w:rPr>
                <w:rFonts w:asciiTheme="minorHAnsi" w:hAnsiTheme="minorHAnsi" w:cstheme="minorHAnsi"/>
                <w:sz w:val="18"/>
                <w:szCs w:val="18"/>
              </w:rPr>
            </w:pPr>
            <w:r w:rsidRPr="00B22E4C">
              <w:rPr>
                <w:rFonts w:asciiTheme="minorHAnsi" w:hAnsiTheme="minorHAnsi" w:cstheme="minorHAnsi"/>
                <w:sz w:val="18"/>
                <w:szCs w:val="18"/>
              </w:rPr>
              <w:t>$137.96</w:t>
            </w:r>
            <w:r w:rsidRPr="00B22E4C">
              <w:rPr>
                <w:rFonts w:asciiTheme="minorHAnsi" w:hAnsiTheme="minorHAnsi" w:cstheme="minorHAnsi"/>
                <w:sz w:val="20"/>
                <w:szCs w:val="20"/>
                <w:vertAlign w:val="superscript"/>
              </w:rPr>
              <w:t xml:space="preserve"> b</w:t>
            </w:r>
          </w:p>
        </w:tc>
        <w:tc>
          <w:tcPr>
            <w:tcW w:w="12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63ED2DF" w14:textId="77777777" w:rsidR="00DF3517" w:rsidRPr="00B22E4C" w:rsidRDefault="00DF3517" w:rsidP="00DF3517">
            <w:pPr>
              <w:rPr>
                <w:rFonts w:asciiTheme="minorHAnsi" w:hAnsiTheme="minorHAnsi" w:cstheme="minorHAnsi"/>
                <w:sz w:val="18"/>
                <w:szCs w:val="18"/>
              </w:rPr>
            </w:pPr>
            <w:r w:rsidRPr="00B22E4C">
              <w:rPr>
                <w:rFonts w:asciiTheme="minorHAnsi" w:hAnsiTheme="minorHAnsi" w:cstheme="minorHAnsi"/>
                <w:sz w:val="18"/>
                <w:szCs w:val="18"/>
              </w:rPr>
              <w:t>$68.98</w:t>
            </w:r>
            <w:r w:rsidRPr="00B22E4C">
              <w:rPr>
                <w:rFonts w:asciiTheme="minorHAnsi" w:hAnsiTheme="minorHAnsi" w:cstheme="minorHAnsi"/>
                <w:sz w:val="20"/>
                <w:szCs w:val="20"/>
                <w:vertAlign w:val="superscript"/>
              </w:rPr>
              <w:t xml:space="preserve"> a</w:t>
            </w:r>
          </w:p>
          <w:p w14:paraId="132CB1C5" w14:textId="77777777" w:rsidR="00DF3517" w:rsidRPr="00B22E4C" w:rsidRDefault="00DF3517" w:rsidP="00DF3517">
            <w:pPr>
              <w:rPr>
                <w:rFonts w:asciiTheme="minorHAnsi" w:hAnsiTheme="minorHAnsi" w:cstheme="minorHAnsi"/>
                <w:sz w:val="18"/>
                <w:szCs w:val="18"/>
              </w:rPr>
            </w:pPr>
            <w:r w:rsidRPr="00B22E4C">
              <w:rPr>
                <w:rFonts w:asciiTheme="minorHAnsi" w:hAnsiTheme="minorHAnsi" w:cstheme="minorHAnsi"/>
                <w:sz w:val="18"/>
                <w:szCs w:val="18"/>
              </w:rPr>
              <w:t>$137.96</w:t>
            </w:r>
            <w:r w:rsidRPr="00B22E4C">
              <w:rPr>
                <w:rFonts w:asciiTheme="minorHAnsi" w:hAnsiTheme="minorHAnsi" w:cstheme="minorHAnsi"/>
                <w:sz w:val="20"/>
                <w:szCs w:val="20"/>
                <w:vertAlign w:val="superscript"/>
              </w:rPr>
              <w:t>b</w:t>
            </w:r>
          </w:p>
        </w:tc>
        <w:tc>
          <w:tcPr>
            <w:tcW w:w="1137" w:type="dxa"/>
            <w:tcBorders>
              <w:top w:val="single" w:sz="4" w:space="0" w:color="000000"/>
              <w:left w:val="single" w:sz="4" w:space="0" w:color="000000"/>
              <w:bottom w:val="single" w:sz="4" w:space="0" w:color="000000"/>
              <w:right w:val="single" w:sz="4" w:space="0" w:color="000000"/>
            </w:tcBorders>
          </w:tcPr>
          <w:p w14:paraId="34AC969A" w14:textId="77777777" w:rsidR="00DF3517" w:rsidRPr="00B22E4C" w:rsidRDefault="00DF3517" w:rsidP="00DF3517">
            <w:pPr>
              <w:rPr>
                <w:rFonts w:asciiTheme="minorHAnsi" w:hAnsiTheme="minorHAnsi" w:cstheme="minorHAnsi"/>
                <w:sz w:val="18"/>
                <w:szCs w:val="18"/>
              </w:rPr>
            </w:pPr>
            <w:r w:rsidRPr="00B22E4C">
              <w:rPr>
                <w:rFonts w:asciiTheme="minorHAnsi" w:hAnsiTheme="minorHAnsi" w:cstheme="minorHAnsi"/>
                <w:sz w:val="18"/>
                <w:szCs w:val="18"/>
              </w:rPr>
              <w:t>$90</w:t>
            </w:r>
            <w:r w:rsidRPr="00B22E4C">
              <w:rPr>
                <w:rFonts w:asciiTheme="minorHAnsi" w:hAnsiTheme="minorHAnsi" w:cstheme="minorHAnsi"/>
                <w:sz w:val="20"/>
                <w:szCs w:val="20"/>
                <w:vertAlign w:val="superscript"/>
              </w:rPr>
              <w:t xml:space="preserve"> a</w:t>
            </w:r>
          </w:p>
          <w:p w14:paraId="5C1A6916" w14:textId="77777777" w:rsidR="00DF3517" w:rsidRPr="00B22E4C" w:rsidRDefault="00DF3517" w:rsidP="00DF3517">
            <w:pPr>
              <w:rPr>
                <w:rFonts w:asciiTheme="minorHAnsi" w:hAnsiTheme="minorHAnsi" w:cstheme="minorHAnsi"/>
                <w:sz w:val="18"/>
                <w:szCs w:val="18"/>
              </w:rPr>
            </w:pPr>
            <w:r w:rsidRPr="00B22E4C">
              <w:rPr>
                <w:rFonts w:asciiTheme="minorHAnsi" w:hAnsiTheme="minorHAnsi" w:cstheme="minorHAnsi"/>
                <w:sz w:val="18"/>
                <w:szCs w:val="18"/>
              </w:rPr>
              <w:t>$180</w:t>
            </w:r>
            <w:r w:rsidRPr="00B22E4C">
              <w:rPr>
                <w:rFonts w:asciiTheme="minorHAnsi" w:hAnsiTheme="minorHAnsi" w:cstheme="minorHAnsi"/>
                <w:sz w:val="20"/>
                <w:szCs w:val="20"/>
                <w:vertAlign w:val="superscript"/>
              </w:rPr>
              <w:t>b</w:t>
            </w:r>
          </w:p>
        </w:tc>
        <w:tc>
          <w:tcPr>
            <w:tcW w:w="1260" w:type="dxa"/>
            <w:tcBorders>
              <w:top w:val="single" w:sz="4" w:space="0" w:color="000000"/>
              <w:left w:val="single" w:sz="4" w:space="0" w:color="000000"/>
              <w:bottom w:val="single" w:sz="4" w:space="0" w:color="000000"/>
              <w:right w:val="single" w:sz="4" w:space="0" w:color="000000"/>
            </w:tcBorders>
          </w:tcPr>
          <w:p w14:paraId="7C3E5458" w14:textId="77777777" w:rsidR="00DF3517" w:rsidRPr="00B22E4C" w:rsidRDefault="00DF3517" w:rsidP="00DF3517">
            <w:pPr>
              <w:rPr>
                <w:rFonts w:asciiTheme="minorHAnsi" w:hAnsiTheme="minorHAnsi" w:cstheme="minorHAnsi"/>
                <w:sz w:val="18"/>
                <w:szCs w:val="18"/>
              </w:rPr>
            </w:pPr>
            <w:r w:rsidRPr="00B22E4C">
              <w:rPr>
                <w:rFonts w:asciiTheme="minorHAnsi" w:hAnsiTheme="minorHAnsi" w:cstheme="minorHAnsi"/>
                <w:sz w:val="18"/>
                <w:szCs w:val="18"/>
              </w:rPr>
              <w:t>$90</w:t>
            </w:r>
            <w:r w:rsidRPr="00B22E4C">
              <w:rPr>
                <w:rFonts w:asciiTheme="minorHAnsi" w:hAnsiTheme="minorHAnsi" w:cstheme="minorHAnsi"/>
                <w:sz w:val="20"/>
                <w:szCs w:val="20"/>
                <w:vertAlign w:val="superscript"/>
              </w:rPr>
              <w:t xml:space="preserve"> a</w:t>
            </w:r>
          </w:p>
          <w:p w14:paraId="7E36AE9F" w14:textId="77777777" w:rsidR="00DF3517" w:rsidRPr="00B22E4C" w:rsidRDefault="00DF3517" w:rsidP="00DF3517">
            <w:pPr>
              <w:rPr>
                <w:rFonts w:asciiTheme="minorHAnsi" w:hAnsiTheme="minorHAnsi" w:cstheme="minorHAnsi"/>
                <w:sz w:val="18"/>
                <w:szCs w:val="18"/>
              </w:rPr>
            </w:pPr>
            <w:r w:rsidRPr="00B22E4C">
              <w:rPr>
                <w:rFonts w:asciiTheme="minorHAnsi" w:hAnsiTheme="minorHAnsi" w:cstheme="minorHAnsi"/>
                <w:sz w:val="18"/>
                <w:szCs w:val="18"/>
              </w:rPr>
              <w:t>$180</w:t>
            </w:r>
            <w:r w:rsidRPr="00B22E4C">
              <w:rPr>
                <w:rFonts w:asciiTheme="minorHAnsi" w:hAnsiTheme="minorHAnsi" w:cstheme="minorHAnsi"/>
                <w:sz w:val="20"/>
                <w:szCs w:val="20"/>
                <w:vertAlign w:val="superscript"/>
              </w:rPr>
              <w:t>b</w:t>
            </w:r>
          </w:p>
        </w:tc>
        <w:tc>
          <w:tcPr>
            <w:tcW w:w="1180" w:type="dxa"/>
            <w:tcBorders>
              <w:top w:val="single" w:sz="4" w:space="0" w:color="000000"/>
              <w:left w:val="single" w:sz="4" w:space="0" w:color="000000"/>
              <w:bottom w:val="single" w:sz="4" w:space="0" w:color="000000"/>
              <w:right w:val="single" w:sz="4" w:space="0" w:color="000000"/>
            </w:tcBorders>
          </w:tcPr>
          <w:p w14:paraId="12D6174E" w14:textId="77777777" w:rsidR="00DF3517" w:rsidRPr="00B22E4C" w:rsidRDefault="00DF3517" w:rsidP="00DF3517">
            <w:pPr>
              <w:rPr>
                <w:rFonts w:asciiTheme="minorHAnsi" w:hAnsiTheme="minorHAnsi" w:cstheme="minorHAnsi"/>
                <w:sz w:val="18"/>
                <w:szCs w:val="18"/>
              </w:rPr>
            </w:pPr>
            <w:r w:rsidRPr="00B22E4C">
              <w:rPr>
                <w:rFonts w:asciiTheme="minorHAnsi" w:hAnsiTheme="minorHAnsi" w:cstheme="minorHAnsi"/>
                <w:sz w:val="18"/>
                <w:szCs w:val="18"/>
              </w:rPr>
              <w:t>$90</w:t>
            </w:r>
            <w:r w:rsidRPr="00B22E4C">
              <w:rPr>
                <w:rFonts w:asciiTheme="minorHAnsi" w:hAnsiTheme="minorHAnsi" w:cstheme="minorHAnsi"/>
                <w:sz w:val="20"/>
                <w:szCs w:val="20"/>
                <w:vertAlign w:val="superscript"/>
              </w:rPr>
              <w:t xml:space="preserve"> a</w:t>
            </w:r>
          </w:p>
          <w:p w14:paraId="3A48C375" w14:textId="77777777" w:rsidR="00DF3517" w:rsidRPr="00B22E4C" w:rsidRDefault="00DF3517" w:rsidP="00DF3517">
            <w:pPr>
              <w:rPr>
                <w:rFonts w:asciiTheme="minorHAnsi" w:hAnsiTheme="minorHAnsi" w:cstheme="minorHAnsi"/>
                <w:sz w:val="18"/>
                <w:szCs w:val="18"/>
              </w:rPr>
            </w:pPr>
            <w:r w:rsidRPr="00B22E4C">
              <w:rPr>
                <w:rFonts w:asciiTheme="minorHAnsi" w:hAnsiTheme="minorHAnsi" w:cstheme="minorHAnsi"/>
                <w:sz w:val="18"/>
                <w:szCs w:val="18"/>
              </w:rPr>
              <w:t>$180</w:t>
            </w:r>
            <w:r w:rsidRPr="00B22E4C">
              <w:rPr>
                <w:rFonts w:asciiTheme="minorHAnsi" w:hAnsiTheme="minorHAnsi" w:cstheme="minorHAnsi"/>
                <w:sz w:val="20"/>
                <w:szCs w:val="20"/>
                <w:vertAlign w:val="superscript"/>
              </w:rPr>
              <w:t>b</w:t>
            </w:r>
          </w:p>
        </w:tc>
      </w:tr>
      <w:tr w:rsidR="00DF3517" w:rsidRPr="00B22E4C" w14:paraId="41B21861" w14:textId="77777777" w:rsidTr="0055125C">
        <w:trPr>
          <w:jc w:val="center"/>
        </w:trPr>
        <w:tc>
          <w:tcPr>
            <w:tcW w:w="1435" w:type="dxa"/>
            <w:tcBorders>
              <w:top w:val="single" w:sz="4" w:space="0" w:color="000000"/>
              <w:left w:val="single" w:sz="4" w:space="0" w:color="000000"/>
              <w:bottom w:val="single" w:sz="4" w:space="0" w:color="000000"/>
              <w:right w:val="single" w:sz="4" w:space="0" w:color="000000"/>
            </w:tcBorders>
          </w:tcPr>
          <w:p w14:paraId="700F9368" w14:textId="77777777" w:rsidR="00DF3517" w:rsidRPr="00B22E4C" w:rsidRDefault="00DF3517" w:rsidP="00DF3517">
            <w:pPr>
              <w:rPr>
                <w:rFonts w:asciiTheme="minorHAnsi" w:hAnsiTheme="minorHAnsi" w:cstheme="minorHAnsi"/>
                <w:sz w:val="18"/>
                <w:szCs w:val="18"/>
              </w:rPr>
            </w:pPr>
            <w:r w:rsidRPr="00B22E4C">
              <w:rPr>
                <w:rFonts w:asciiTheme="minorHAnsi" w:hAnsiTheme="minorHAnsi" w:cstheme="minorHAnsi"/>
                <w:sz w:val="18"/>
                <w:szCs w:val="18"/>
              </w:rPr>
              <w:t>Oseltamivir 75 mg capsule</w:t>
            </w:r>
          </w:p>
        </w:tc>
        <w:tc>
          <w:tcPr>
            <w:tcW w:w="1448" w:type="dxa"/>
            <w:tcBorders>
              <w:top w:val="single" w:sz="4" w:space="0" w:color="000000"/>
              <w:left w:val="single" w:sz="4" w:space="0" w:color="000000"/>
              <w:bottom w:val="single" w:sz="4" w:space="0" w:color="000000"/>
              <w:right w:val="single" w:sz="4" w:space="0" w:color="000000"/>
            </w:tcBorders>
          </w:tcPr>
          <w:p w14:paraId="2096E23D" w14:textId="77777777" w:rsidR="00DF3517" w:rsidRPr="00B22E4C" w:rsidRDefault="00DF3517" w:rsidP="00DF3517">
            <w:pPr>
              <w:rPr>
                <w:rFonts w:asciiTheme="minorHAnsi" w:hAnsiTheme="minorHAnsi" w:cstheme="minorHAnsi"/>
                <w:sz w:val="18"/>
                <w:szCs w:val="18"/>
              </w:rPr>
            </w:pPr>
            <w:r w:rsidRPr="00B22E4C">
              <w:rPr>
                <w:rFonts w:asciiTheme="minorHAnsi" w:hAnsiTheme="minorHAnsi" w:cstheme="minorHAnsi"/>
                <w:sz w:val="18"/>
                <w:szCs w:val="18"/>
              </w:rPr>
              <w:t>75 mg po bid x 5 days</w:t>
            </w:r>
          </w:p>
        </w:tc>
        <w:tc>
          <w:tcPr>
            <w:tcW w:w="924" w:type="dxa"/>
            <w:tcBorders>
              <w:top w:val="single" w:sz="4" w:space="0" w:color="000000"/>
              <w:left w:val="single" w:sz="4" w:space="0" w:color="000000"/>
              <w:bottom w:val="single" w:sz="4" w:space="0" w:color="000000"/>
              <w:right w:val="single" w:sz="4" w:space="0" w:color="000000"/>
            </w:tcBorders>
          </w:tcPr>
          <w:p w14:paraId="3BD4A233" w14:textId="7198CAF7" w:rsidR="00DF3517" w:rsidRPr="00B22E4C" w:rsidRDefault="00DF3517" w:rsidP="00DF3517">
            <w:pPr>
              <w:rPr>
                <w:rFonts w:asciiTheme="minorHAnsi" w:hAnsiTheme="minorHAnsi" w:cstheme="minorHAnsi"/>
                <w:sz w:val="18"/>
                <w:szCs w:val="18"/>
              </w:rPr>
            </w:pPr>
            <w:r w:rsidRPr="00B22E4C">
              <w:rPr>
                <w:rFonts w:asciiTheme="minorHAnsi" w:hAnsiTheme="minorHAnsi" w:cstheme="minorHAnsi"/>
                <w:sz w:val="18"/>
                <w:szCs w:val="18"/>
              </w:rPr>
              <w:t>$9.38</w:t>
            </w:r>
          </w:p>
        </w:tc>
        <w:tc>
          <w:tcPr>
            <w:tcW w:w="924" w:type="dxa"/>
            <w:tcBorders>
              <w:top w:val="single" w:sz="4" w:space="0" w:color="000000"/>
              <w:left w:val="single" w:sz="4" w:space="0" w:color="000000"/>
              <w:bottom w:val="single" w:sz="4" w:space="0" w:color="000000"/>
              <w:right w:val="single" w:sz="4" w:space="0" w:color="000000"/>
            </w:tcBorders>
          </w:tcPr>
          <w:p w14:paraId="5771EF89" w14:textId="231D3B8B" w:rsidR="00DF3517" w:rsidRPr="00B22E4C" w:rsidRDefault="00DF3517" w:rsidP="00DF3517">
            <w:pPr>
              <w:rPr>
                <w:rFonts w:asciiTheme="minorHAnsi" w:hAnsiTheme="minorHAnsi" w:cstheme="minorHAnsi"/>
                <w:sz w:val="18"/>
                <w:szCs w:val="18"/>
              </w:rPr>
            </w:pPr>
            <w:r w:rsidRPr="00B22E4C">
              <w:rPr>
                <w:rFonts w:asciiTheme="minorHAnsi" w:hAnsiTheme="minorHAnsi" w:cstheme="minorHAnsi"/>
                <w:sz w:val="18"/>
                <w:szCs w:val="18"/>
              </w:rPr>
              <w:t>$18.76</w:t>
            </w:r>
          </w:p>
        </w:tc>
        <w:tc>
          <w:tcPr>
            <w:tcW w:w="12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59A07EB" w14:textId="77777777" w:rsidR="00DF3517" w:rsidRPr="00B22E4C" w:rsidRDefault="00DF3517" w:rsidP="00DF3517">
            <w:pPr>
              <w:rPr>
                <w:rFonts w:asciiTheme="minorHAnsi" w:hAnsiTheme="minorHAnsi" w:cstheme="minorHAnsi"/>
                <w:sz w:val="18"/>
                <w:szCs w:val="18"/>
              </w:rPr>
            </w:pPr>
            <w:r w:rsidRPr="00B22E4C">
              <w:rPr>
                <w:rFonts w:asciiTheme="minorHAnsi" w:hAnsiTheme="minorHAnsi" w:cstheme="minorHAnsi"/>
                <w:sz w:val="18"/>
                <w:szCs w:val="18"/>
              </w:rPr>
              <w:t>$93.80</w:t>
            </w:r>
          </w:p>
        </w:tc>
        <w:tc>
          <w:tcPr>
            <w:tcW w:w="1137" w:type="dxa"/>
            <w:tcBorders>
              <w:top w:val="single" w:sz="4" w:space="0" w:color="000000"/>
              <w:left w:val="single" w:sz="4" w:space="0" w:color="000000"/>
              <w:bottom w:val="single" w:sz="4" w:space="0" w:color="000000"/>
              <w:right w:val="single" w:sz="4" w:space="0" w:color="000000"/>
            </w:tcBorders>
          </w:tcPr>
          <w:p w14:paraId="012E861C" w14:textId="77777777" w:rsidR="00DF3517" w:rsidRPr="00B22E4C" w:rsidRDefault="00DF3517" w:rsidP="00DF3517">
            <w:pPr>
              <w:rPr>
                <w:rFonts w:asciiTheme="minorHAnsi" w:hAnsiTheme="minorHAnsi" w:cstheme="minorHAnsi"/>
                <w:sz w:val="18"/>
                <w:szCs w:val="18"/>
              </w:rPr>
            </w:pPr>
            <w:r w:rsidRPr="00B22E4C">
              <w:rPr>
                <w:rFonts w:asciiTheme="minorHAnsi" w:hAnsiTheme="minorHAnsi" w:cstheme="minorHAnsi"/>
                <w:sz w:val="18"/>
                <w:szCs w:val="18"/>
              </w:rPr>
              <w:t>$10.20</w:t>
            </w:r>
          </w:p>
        </w:tc>
        <w:tc>
          <w:tcPr>
            <w:tcW w:w="1260" w:type="dxa"/>
            <w:tcBorders>
              <w:top w:val="single" w:sz="4" w:space="0" w:color="000000"/>
              <w:left w:val="single" w:sz="4" w:space="0" w:color="000000"/>
              <w:bottom w:val="single" w:sz="4" w:space="0" w:color="000000"/>
              <w:right w:val="single" w:sz="4" w:space="0" w:color="000000"/>
            </w:tcBorders>
          </w:tcPr>
          <w:p w14:paraId="70DB9B70" w14:textId="77777777" w:rsidR="00DF3517" w:rsidRPr="00B22E4C" w:rsidRDefault="00DF3517" w:rsidP="00DF3517">
            <w:pPr>
              <w:rPr>
                <w:rFonts w:asciiTheme="minorHAnsi" w:hAnsiTheme="minorHAnsi" w:cstheme="minorHAnsi"/>
                <w:sz w:val="18"/>
                <w:szCs w:val="18"/>
              </w:rPr>
            </w:pPr>
            <w:r w:rsidRPr="00B22E4C">
              <w:rPr>
                <w:rFonts w:asciiTheme="minorHAnsi" w:hAnsiTheme="minorHAnsi" w:cstheme="minorHAnsi"/>
                <w:sz w:val="18"/>
                <w:szCs w:val="18"/>
              </w:rPr>
              <w:t>$20.40</w:t>
            </w:r>
          </w:p>
        </w:tc>
        <w:tc>
          <w:tcPr>
            <w:tcW w:w="1180" w:type="dxa"/>
            <w:tcBorders>
              <w:top w:val="single" w:sz="4" w:space="0" w:color="000000"/>
              <w:left w:val="single" w:sz="4" w:space="0" w:color="000000"/>
              <w:bottom w:val="single" w:sz="4" w:space="0" w:color="000000"/>
              <w:right w:val="single" w:sz="4" w:space="0" w:color="000000"/>
            </w:tcBorders>
          </w:tcPr>
          <w:p w14:paraId="33E70B87" w14:textId="77777777" w:rsidR="00DF3517" w:rsidRPr="00B22E4C" w:rsidRDefault="00DF3517" w:rsidP="00DF3517">
            <w:pPr>
              <w:rPr>
                <w:rFonts w:asciiTheme="minorHAnsi" w:hAnsiTheme="minorHAnsi" w:cstheme="minorHAnsi"/>
                <w:sz w:val="18"/>
                <w:szCs w:val="18"/>
              </w:rPr>
            </w:pPr>
            <w:r w:rsidRPr="00B22E4C">
              <w:rPr>
                <w:rFonts w:asciiTheme="minorHAnsi" w:hAnsiTheme="minorHAnsi" w:cstheme="minorHAnsi"/>
                <w:sz w:val="18"/>
                <w:szCs w:val="18"/>
              </w:rPr>
              <w:t xml:space="preserve">$102.01 </w:t>
            </w:r>
          </w:p>
        </w:tc>
      </w:tr>
      <w:tr w:rsidR="00DF3517" w:rsidRPr="00B22E4C" w14:paraId="2C2C17CF" w14:textId="77777777" w:rsidTr="0055125C">
        <w:trPr>
          <w:jc w:val="center"/>
        </w:trPr>
        <w:tc>
          <w:tcPr>
            <w:tcW w:w="1435" w:type="dxa"/>
            <w:tcBorders>
              <w:top w:val="single" w:sz="4" w:space="0" w:color="000000"/>
              <w:left w:val="single" w:sz="4" w:space="0" w:color="000000"/>
              <w:bottom w:val="single" w:sz="4" w:space="0" w:color="000000"/>
              <w:right w:val="single" w:sz="4" w:space="0" w:color="000000"/>
            </w:tcBorders>
            <w:hideMark/>
          </w:tcPr>
          <w:p w14:paraId="685E0F03" w14:textId="77777777" w:rsidR="00DF3517" w:rsidRPr="00B22E4C" w:rsidRDefault="00DF3517" w:rsidP="00DF3517">
            <w:pPr>
              <w:rPr>
                <w:rFonts w:asciiTheme="minorHAnsi" w:hAnsiTheme="minorHAnsi" w:cstheme="minorHAnsi"/>
                <w:sz w:val="18"/>
                <w:szCs w:val="18"/>
              </w:rPr>
            </w:pPr>
            <w:r w:rsidRPr="00B22E4C">
              <w:rPr>
                <w:rFonts w:asciiTheme="minorHAnsi" w:hAnsiTheme="minorHAnsi" w:cstheme="minorHAnsi"/>
                <w:sz w:val="18"/>
                <w:szCs w:val="18"/>
              </w:rPr>
              <w:t>Peramivir 200 mg vial</w:t>
            </w:r>
          </w:p>
        </w:tc>
        <w:tc>
          <w:tcPr>
            <w:tcW w:w="1448" w:type="dxa"/>
            <w:tcBorders>
              <w:top w:val="single" w:sz="4" w:space="0" w:color="000000"/>
              <w:left w:val="single" w:sz="4" w:space="0" w:color="000000"/>
              <w:bottom w:val="single" w:sz="4" w:space="0" w:color="000000"/>
              <w:right w:val="single" w:sz="4" w:space="0" w:color="000000"/>
            </w:tcBorders>
          </w:tcPr>
          <w:p w14:paraId="7B72D4C1" w14:textId="77777777" w:rsidR="00DF3517" w:rsidRPr="00B22E4C" w:rsidRDefault="00DF3517" w:rsidP="00DF3517">
            <w:pPr>
              <w:rPr>
                <w:rFonts w:asciiTheme="minorHAnsi" w:hAnsiTheme="minorHAnsi" w:cstheme="minorHAnsi"/>
                <w:sz w:val="18"/>
                <w:szCs w:val="18"/>
              </w:rPr>
            </w:pPr>
            <w:r w:rsidRPr="00B22E4C">
              <w:rPr>
                <w:rFonts w:asciiTheme="minorHAnsi" w:hAnsiTheme="minorHAnsi" w:cstheme="minorHAnsi"/>
                <w:sz w:val="18"/>
                <w:szCs w:val="18"/>
              </w:rPr>
              <w:t>600 mg x 1 (uncomplicated)</w:t>
            </w:r>
          </w:p>
        </w:tc>
        <w:tc>
          <w:tcPr>
            <w:tcW w:w="924" w:type="dxa"/>
            <w:tcBorders>
              <w:top w:val="single" w:sz="4" w:space="0" w:color="000000"/>
              <w:left w:val="single" w:sz="4" w:space="0" w:color="000000"/>
              <w:bottom w:val="single" w:sz="4" w:space="0" w:color="000000"/>
              <w:right w:val="single" w:sz="4" w:space="0" w:color="000000"/>
            </w:tcBorders>
          </w:tcPr>
          <w:p w14:paraId="0DAF64BD" w14:textId="77777777" w:rsidR="00DF3517" w:rsidRPr="00B22E4C" w:rsidRDefault="00DF3517" w:rsidP="00DF3517">
            <w:pPr>
              <w:rPr>
                <w:rFonts w:asciiTheme="minorHAnsi" w:hAnsiTheme="minorHAnsi" w:cstheme="minorHAnsi"/>
                <w:sz w:val="18"/>
                <w:szCs w:val="18"/>
              </w:rPr>
            </w:pPr>
            <w:r w:rsidRPr="00B22E4C">
              <w:rPr>
                <w:rFonts w:asciiTheme="minorHAnsi" w:hAnsiTheme="minorHAnsi" w:cstheme="minorHAnsi"/>
                <w:sz w:val="18"/>
                <w:szCs w:val="18"/>
              </w:rPr>
              <w:t>$311.92</w:t>
            </w:r>
          </w:p>
          <w:p w14:paraId="51A54A9C" w14:textId="77777777" w:rsidR="00DF3517" w:rsidRPr="00B22E4C" w:rsidRDefault="00DF3517" w:rsidP="00DF3517">
            <w:pPr>
              <w:rPr>
                <w:rFonts w:asciiTheme="minorHAnsi" w:hAnsiTheme="minorHAnsi" w:cstheme="minorHAnsi"/>
                <w:sz w:val="18"/>
                <w:szCs w:val="18"/>
              </w:rPr>
            </w:pPr>
          </w:p>
        </w:tc>
        <w:tc>
          <w:tcPr>
            <w:tcW w:w="924" w:type="dxa"/>
            <w:tcBorders>
              <w:top w:val="single" w:sz="4" w:space="0" w:color="000000"/>
              <w:left w:val="single" w:sz="4" w:space="0" w:color="000000"/>
              <w:bottom w:val="single" w:sz="4" w:space="0" w:color="000000"/>
              <w:right w:val="single" w:sz="4" w:space="0" w:color="000000"/>
            </w:tcBorders>
          </w:tcPr>
          <w:p w14:paraId="7F58FB2D" w14:textId="1D39F121" w:rsidR="00DF3517" w:rsidRPr="00B22E4C" w:rsidRDefault="00DF3517" w:rsidP="00DF3517">
            <w:pPr>
              <w:rPr>
                <w:rFonts w:asciiTheme="minorHAnsi" w:hAnsiTheme="minorHAnsi" w:cstheme="minorHAnsi"/>
                <w:sz w:val="18"/>
                <w:szCs w:val="18"/>
              </w:rPr>
            </w:pPr>
            <w:r w:rsidRPr="00B22E4C">
              <w:rPr>
                <w:rFonts w:asciiTheme="minorHAnsi" w:hAnsiTheme="minorHAnsi" w:cstheme="minorHAnsi"/>
                <w:sz w:val="18"/>
                <w:szCs w:val="18"/>
              </w:rPr>
              <w:t>$935.76</w:t>
            </w:r>
          </w:p>
        </w:tc>
        <w:tc>
          <w:tcPr>
            <w:tcW w:w="12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BA88275" w14:textId="77777777" w:rsidR="00DF3517" w:rsidRPr="00B22E4C" w:rsidRDefault="00DF3517" w:rsidP="00DF3517">
            <w:pPr>
              <w:rPr>
                <w:rFonts w:asciiTheme="minorHAnsi" w:hAnsiTheme="minorHAnsi" w:cstheme="minorHAnsi"/>
                <w:sz w:val="18"/>
                <w:szCs w:val="18"/>
              </w:rPr>
            </w:pPr>
            <w:r w:rsidRPr="00B22E4C">
              <w:rPr>
                <w:rFonts w:asciiTheme="minorHAnsi" w:hAnsiTheme="minorHAnsi" w:cstheme="minorHAnsi"/>
                <w:sz w:val="18"/>
                <w:szCs w:val="18"/>
              </w:rPr>
              <w:t>$935.76</w:t>
            </w:r>
          </w:p>
        </w:tc>
        <w:tc>
          <w:tcPr>
            <w:tcW w:w="1137" w:type="dxa"/>
            <w:tcBorders>
              <w:top w:val="single" w:sz="4" w:space="0" w:color="000000"/>
              <w:left w:val="single" w:sz="4" w:space="0" w:color="000000"/>
              <w:bottom w:val="single" w:sz="4" w:space="0" w:color="000000"/>
              <w:right w:val="single" w:sz="4" w:space="0" w:color="000000"/>
            </w:tcBorders>
            <w:hideMark/>
          </w:tcPr>
          <w:p w14:paraId="5AA17E38" w14:textId="77777777" w:rsidR="00DF3517" w:rsidRPr="00B22E4C" w:rsidRDefault="00DF3517" w:rsidP="00DF3517">
            <w:pPr>
              <w:rPr>
                <w:rFonts w:asciiTheme="minorHAnsi" w:hAnsiTheme="minorHAnsi" w:cstheme="minorHAnsi"/>
                <w:sz w:val="18"/>
                <w:szCs w:val="18"/>
              </w:rPr>
            </w:pPr>
            <w:r w:rsidRPr="00B22E4C">
              <w:rPr>
                <w:rFonts w:asciiTheme="minorHAnsi" w:hAnsiTheme="minorHAnsi" w:cstheme="minorHAnsi"/>
                <w:sz w:val="18"/>
                <w:szCs w:val="18"/>
              </w:rPr>
              <w:t>$380.00</w:t>
            </w:r>
          </w:p>
        </w:tc>
        <w:tc>
          <w:tcPr>
            <w:tcW w:w="1260" w:type="dxa"/>
            <w:tcBorders>
              <w:top w:val="single" w:sz="4" w:space="0" w:color="000000"/>
              <w:left w:val="single" w:sz="4" w:space="0" w:color="000000"/>
              <w:bottom w:val="single" w:sz="4" w:space="0" w:color="000000"/>
              <w:right w:val="single" w:sz="4" w:space="0" w:color="000000"/>
            </w:tcBorders>
            <w:hideMark/>
          </w:tcPr>
          <w:p w14:paraId="007421A2" w14:textId="77777777" w:rsidR="00DF3517" w:rsidRPr="00B22E4C" w:rsidRDefault="00DF3517" w:rsidP="00DF3517">
            <w:pPr>
              <w:rPr>
                <w:rFonts w:asciiTheme="minorHAnsi" w:hAnsiTheme="minorHAnsi" w:cstheme="minorHAnsi"/>
                <w:sz w:val="18"/>
                <w:szCs w:val="18"/>
              </w:rPr>
            </w:pPr>
            <w:r w:rsidRPr="00B22E4C">
              <w:rPr>
                <w:rFonts w:asciiTheme="minorHAnsi" w:hAnsiTheme="minorHAnsi" w:cstheme="minorHAnsi"/>
                <w:sz w:val="18"/>
                <w:szCs w:val="18"/>
              </w:rPr>
              <w:t>$1140</w:t>
            </w:r>
          </w:p>
        </w:tc>
        <w:tc>
          <w:tcPr>
            <w:tcW w:w="1180" w:type="dxa"/>
            <w:tcBorders>
              <w:top w:val="single" w:sz="4" w:space="0" w:color="000000"/>
              <w:left w:val="single" w:sz="4" w:space="0" w:color="000000"/>
              <w:bottom w:val="single" w:sz="4" w:space="0" w:color="000000"/>
              <w:right w:val="single" w:sz="4" w:space="0" w:color="000000"/>
            </w:tcBorders>
            <w:hideMark/>
          </w:tcPr>
          <w:p w14:paraId="023AFDED" w14:textId="77777777" w:rsidR="00DF3517" w:rsidRPr="00B22E4C" w:rsidRDefault="00DF3517" w:rsidP="00DF3517">
            <w:pPr>
              <w:rPr>
                <w:rFonts w:asciiTheme="minorHAnsi" w:hAnsiTheme="minorHAnsi" w:cstheme="minorHAnsi"/>
                <w:sz w:val="18"/>
                <w:szCs w:val="18"/>
              </w:rPr>
            </w:pPr>
            <w:r w:rsidRPr="00B22E4C">
              <w:rPr>
                <w:rFonts w:asciiTheme="minorHAnsi" w:hAnsiTheme="minorHAnsi" w:cstheme="minorHAnsi"/>
                <w:sz w:val="18"/>
                <w:szCs w:val="18"/>
              </w:rPr>
              <w:t>$1140</w:t>
            </w:r>
          </w:p>
        </w:tc>
      </w:tr>
      <w:tr w:rsidR="00DF3517" w:rsidRPr="00B22E4C" w14:paraId="12D259F4" w14:textId="77777777" w:rsidTr="0055125C">
        <w:trPr>
          <w:jc w:val="center"/>
        </w:trPr>
        <w:tc>
          <w:tcPr>
            <w:tcW w:w="1435" w:type="dxa"/>
            <w:tcBorders>
              <w:top w:val="single" w:sz="4" w:space="0" w:color="000000"/>
              <w:left w:val="single" w:sz="4" w:space="0" w:color="000000"/>
              <w:bottom w:val="single" w:sz="4" w:space="0" w:color="000000"/>
              <w:right w:val="single" w:sz="4" w:space="0" w:color="000000"/>
            </w:tcBorders>
          </w:tcPr>
          <w:p w14:paraId="329A33B5" w14:textId="77777777" w:rsidR="00DF3517" w:rsidRPr="00B22E4C" w:rsidRDefault="00DF3517" w:rsidP="00DF3517">
            <w:pPr>
              <w:rPr>
                <w:rFonts w:asciiTheme="minorHAnsi" w:hAnsiTheme="minorHAnsi" w:cstheme="minorHAnsi"/>
                <w:sz w:val="18"/>
                <w:szCs w:val="18"/>
              </w:rPr>
            </w:pPr>
            <w:r w:rsidRPr="00B22E4C">
              <w:rPr>
                <w:rFonts w:asciiTheme="minorHAnsi" w:hAnsiTheme="minorHAnsi" w:cstheme="minorHAnsi"/>
                <w:sz w:val="18"/>
                <w:szCs w:val="18"/>
              </w:rPr>
              <w:t>Zanamavir inhaler</w:t>
            </w:r>
          </w:p>
        </w:tc>
        <w:tc>
          <w:tcPr>
            <w:tcW w:w="1448" w:type="dxa"/>
            <w:tcBorders>
              <w:top w:val="single" w:sz="4" w:space="0" w:color="000000"/>
              <w:left w:val="single" w:sz="4" w:space="0" w:color="000000"/>
              <w:bottom w:val="single" w:sz="4" w:space="0" w:color="000000"/>
              <w:right w:val="single" w:sz="4" w:space="0" w:color="000000"/>
            </w:tcBorders>
          </w:tcPr>
          <w:p w14:paraId="60BE673A" w14:textId="77777777" w:rsidR="00DF3517" w:rsidRPr="00B22E4C" w:rsidRDefault="00DF3517" w:rsidP="00DF3517">
            <w:pPr>
              <w:rPr>
                <w:rFonts w:asciiTheme="minorHAnsi" w:hAnsiTheme="minorHAnsi" w:cstheme="minorHAnsi"/>
                <w:sz w:val="18"/>
                <w:szCs w:val="18"/>
              </w:rPr>
            </w:pPr>
            <w:r w:rsidRPr="00B22E4C">
              <w:rPr>
                <w:rFonts w:asciiTheme="minorHAnsi" w:hAnsiTheme="minorHAnsi" w:cstheme="minorHAnsi"/>
                <w:sz w:val="18"/>
                <w:szCs w:val="18"/>
              </w:rPr>
              <w:t>10 mg INH daily x10 days</w:t>
            </w:r>
          </w:p>
        </w:tc>
        <w:tc>
          <w:tcPr>
            <w:tcW w:w="924" w:type="dxa"/>
            <w:tcBorders>
              <w:top w:val="single" w:sz="4" w:space="0" w:color="000000"/>
              <w:left w:val="single" w:sz="4" w:space="0" w:color="000000"/>
              <w:bottom w:val="single" w:sz="4" w:space="0" w:color="000000"/>
              <w:right w:val="single" w:sz="4" w:space="0" w:color="000000"/>
            </w:tcBorders>
          </w:tcPr>
          <w:p w14:paraId="3270C6B1" w14:textId="1CB855A5" w:rsidR="00DF3517" w:rsidRPr="00B22E4C" w:rsidRDefault="00DF3517" w:rsidP="00DF3517">
            <w:pPr>
              <w:rPr>
                <w:rFonts w:asciiTheme="minorHAnsi" w:hAnsiTheme="minorHAnsi" w:cstheme="minorHAnsi"/>
                <w:sz w:val="18"/>
                <w:szCs w:val="18"/>
              </w:rPr>
            </w:pPr>
            <w:r w:rsidRPr="00B22E4C">
              <w:rPr>
                <w:rFonts w:asciiTheme="minorHAnsi" w:hAnsiTheme="minorHAnsi" w:cstheme="minorHAnsi"/>
                <w:sz w:val="18"/>
                <w:szCs w:val="18"/>
              </w:rPr>
              <w:t>$54.27</w:t>
            </w:r>
          </w:p>
        </w:tc>
        <w:tc>
          <w:tcPr>
            <w:tcW w:w="924" w:type="dxa"/>
            <w:tcBorders>
              <w:top w:val="single" w:sz="4" w:space="0" w:color="000000"/>
              <w:left w:val="single" w:sz="4" w:space="0" w:color="000000"/>
              <w:bottom w:val="single" w:sz="4" w:space="0" w:color="000000"/>
              <w:right w:val="single" w:sz="4" w:space="0" w:color="000000"/>
            </w:tcBorders>
          </w:tcPr>
          <w:p w14:paraId="038B14AC" w14:textId="1A78EDFD" w:rsidR="00DF3517" w:rsidRPr="00B22E4C" w:rsidRDefault="00DF3517" w:rsidP="00DF3517">
            <w:pPr>
              <w:rPr>
                <w:rFonts w:asciiTheme="minorHAnsi" w:hAnsiTheme="minorHAnsi" w:cstheme="minorHAnsi"/>
                <w:sz w:val="18"/>
                <w:szCs w:val="18"/>
              </w:rPr>
            </w:pPr>
            <w:r w:rsidRPr="00B22E4C">
              <w:rPr>
                <w:rFonts w:asciiTheme="minorHAnsi" w:hAnsiTheme="minorHAnsi" w:cstheme="minorHAnsi"/>
                <w:sz w:val="18"/>
                <w:szCs w:val="18"/>
              </w:rPr>
              <w:t>$54.27</w:t>
            </w:r>
          </w:p>
        </w:tc>
        <w:tc>
          <w:tcPr>
            <w:tcW w:w="12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F3B0200" w14:textId="77777777" w:rsidR="00DF3517" w:rsidRPr="00B22E4C" w:rsidRDefault="00DF3517" w:rsidP="00DF3517">
            <w:pPr>
              <w:rPr>
                <w:rFonts w:asciiTheme="minorHAnsi" w:hAnsiTheme="minorHAnsi" w:cstheme="minorHAnsi"/>
                <w:sz w:val="18"/>
                <w:szCs w:val="18"/>
              </w:rPr>
            </w:pPr>
            <w:r w:rsidRPr="00B22E4C">
              <w:rPr>
                <w:rFonts w:asciiTheme="minorHAnsi" w:hAnsiTheme="minorHAnsi" w:cstheme="minorHAnsi"/>
                <w:sz w:val="18"/>
                <w:szCs w:val="18"/>
              </w:rPr>
              <w:t>$54.27</w:t>
            </w:r>
          </w:p>
        </w:tc>
        <w:tc>
          <w:tcPr>
            <w:tcW w:w="1137" w:type="dxa"/>
            <w:tcBorders>
              <w:top w:val="single" w:sz="4" w:space="0" w:color="000000"/>
              <w:left w:val="single" w:sz="4" w:space="0" w:color="000000"/>
              <w:bottom w:val="single" w:sz="4" w:space="0" w:color="000000"/>
              <w:right w:val="single" w:sz="4" w:space="0" w:color="000000"/>
            </w:tcBorders>
          </w:tcPr>
          <w:p w14:paraId="65C87770" w14:textId="77777777" w:rsidR="00DF3517" w:rsidRPr="00B22E4C" w:rsidRDefault="00DF3517" w:rsidP="00DF3517">
            <w:pPr>
              <w:rPr>
                <w:rFonts w:asciiTheme="minorHAnsi" w:hAnsiTheme="minorHAnsi" w:cstheme="minorHAnsi"/>
                <w:sz w:val="18"/>
                <w:szCs w:val="18"/>
              </w:rPr>
            </w:pPr>
            <w:r w:rsidRPr="00B22E4C">
              <w:rPr>
                <w:rFonts w:asciiTheme="minorHAnsi" w:hAnsiTheme="minorHAnsi" w:cstheme="minorHAnsi"/>
                <w:sz w:val="18"/>
                <w:szCs w:val="18"/>
              </w:rPr>
              <w:t>$59.00</w:t>
            </w:r>
          </w:p>
        </w:tc>
        <w:tc>
          <w:tcPr>
            <w:tcW w:w="1260" w:type="dxa"/>
            <w:tcBorders>
              <w:top w:val="single" w:sz="4" w:space="0" w:color="000000"/>
              <w:left w:val="single" w:sz="4" w:space="0" w:color="000000"/>
              <w:bottom w:val="single" w:sz="4" w:space="0" w:color="000000"/>
              <w:right w:val="single" w:sz="4" w:space="0" w:color="000000"/>
            </w:tcBorders>
          </w:tcPr>
          <w:p w14:paraId="569B01CA" w14:textId="77777777" w:rsidR="00DF3517" w:rsidRPr="00B22E4C" w:rsidRDefault="00DF3517" w:rsidP="00DF3517">
            <w:pPr>
              <w:rPr>
                <w:rFonts w:asciiTheme="minorHAnsi" w:hAnsiTheme="minorHAnsi" w:cstheme="minorHAnsi"/>
                <w:sz w:val="18"/>
                <w:szCs w:val="18"/>
              </w:rPr>
            </w:pPr>
            <w:r w:rsidRPr="00B22E4C">
              <w:rPr>
                <w:rFonts w:asciiTheme="minorHAnsi" w:hAnsiTheme="minorHAnsi" w:cstheme="minorHAnsi"/>
                <w:sz w:val="18"/>
                <w:szCs w:val="18"/>
              </w:rPr>
              <w:t>$59.00</w:t>
            </w:r>
          </w:p>
        </w:tc>
        <w:tc>
          <w:tcPr>
            <w:tcW w:w="1180" w:type="dxa"/>
            <w:tcBorders>
              <w:top w:val="single" w:sz="4" w:space="0" w:color="000000"/>
              <w:left w:val="single" w:sz="4" w:space="0" w:color="000000"/>
              <w:bottom w:val="single" w:sz="4" w:space="0" w:color="000000"/>
              <w:right w:val="single" w:sz="4" w:space="0" w:color="000000"/>
            </w:tcBorders>
          </w:tcPr>
          <w:p w14:paraId="13A09720" w14:textId="77777777" w:rsidR="00DF3517" w:rsidRPr="00B22E4C" w:rsidRDefault="00DF3517" w:rsidP="00DF3517">
            <w:pPr>
              <w:rPr>
                <w:rFonts w:asciiTheme="minorHAnsi" w:hAnsiTheme="minorHAnsi" w:cstheme="minorHAnsi"/>
                <w:sz w:val="18"/>
                <w:szCs w:val="18"/>
              </w:rPr>
            </w:pPr>
            <w:r w:rsidRPr="00B22E4C">
              <w:rPr>
                <w:rFonts w:asciiTheme="minorHAnsi" w:hAnsiTheme="minorHAnsi" w:cstheme="minorHAnsi"/>
                <w:sz w:val="18"/>
                <w:szCs w:val="18"/>
              </w:rPr>
              <w:t>$59.00</w:t>
            </w:r>
          </w:p>
        </w:tc>
      </w:tr>
    </w:tbl>
    <w:p w14:paraId="2AD1A961" w14:textId="77777777" w:rsidR="009F59DC" w:rsidRPr="00B22E4C" w:rsidRDefault="00B00192" w:rsidP="008B772B">
      <w:pPr>
        <w:rPr>
          <w:rFonts w:asciiTheme="minorHAnsi" w:hAnsiTheme="minorHAnsi" w:cstheme="minorHAnsi"/>
          <w:sz w:val="20"/>
          <w:szCs w:val="20"/>
        </w:rPr>
      </w:pPr>
      <w:r w:rsidRPr="00B22E4C">
        <w:rPr>
          <w:rFonts w:asciiTheme="minorHAnsi" w:hAnsiTheme="minorHAnsi" w:cstheme="minorHAnsi"/>
          <w:sz w:val="20"/>
          <w:szCs w:val="20"/>
          <w:vertAlign w:val="superscript"/>
        </w:rPr>
        <w:t>a</w:t>
      </w:r>
      <w:r w:rsidRPr="00B22E4C">
        <w:rPr>
          <w:rFonts w:asciiTheme="minorHAnsi" w:hAnsiTheme="minorHAnsi" w:cstheme="minorHAnsi"/>
          <w:sz w:val="20"/>
          <w:szCs w:val="20"/>
        </w:rPr>
        <w:t xml:space="preserve"> price for 40 mg tablet</w:t>
      </w:r>
    </w:p>
    <w:p w14:paraId="485BA982" w14:textId="77777777" w:rsidR="00B00192" w:rsidRPr="00B22E4C" w:rsidRDefault="00B00192" w:rsidP="008B772B">
      <w:pPr>
        <w:rPr>
          <w:rFonts w:asciiTheme="minorHAnsi" w:hAnsiTheme="minorHAnsi" w:cstheme="minorHAnsi"/>
          <w:sz w:val="20"/>
          <w:szCs w:val="20"/>
        </w:rPr>
      </w:pPr>
      <w:r w:rsidRPr="00B22E4C">
        <w:rPr>
          <w:rFonts w:asciiTheme="minorHAnsi" w:hAnsiTheme="minorHAnsi" w:cstheme="minorHAnsi"/>
          <w:sz w:val="20"/>
          <w:szCs w:val="20"/>
          <w:vertAlign w:val="superscript"/>
        </w:rPr>
        <w:t>b</w:t>
      </w:r>
      <w:r w:rsidRPr="00B22E4C">
        <w:rPr>
          <w:rFonts w:asciiTheme="minorHAnsi" w:hAnsiTheme="minorHAnsi" w:cstheme="minorHAnsi"/>
          <w:sz w:val="20"/>
          <w:szCs w:val="20"/>
        </w:rPr>
        <w:t xml:space="preserve"> price for two 40 mg tablets (total 80 mg dose)</w:t>
      </w:r>
    </w:p>
    <w:p w14:paraId="0B23F157" w14:textId="6EEFA2C9" w:rsidR="004A0576" w:rsidRPr="00B22E4C" w:rsidRDefault="004A0576" w:rsidP="008B772B">
      <w:pPr>
        <w:rPr>
          <w:rFonts w:asciiTheme="minorHAnsi" w:hAnsiTheme="minorHAnsi" w:cstheme="minorHAnsi"/>
          <w:b/>
          <w:sz w:val="20"/>
          <w:szCs w:val="20"/>
        </w:rPr>
      </w:pPr>
    </w:p>
    <w:p w14:paraId="7CEE5458" w14:textId="77777777" w:rsidR="00444CED" w:rsidRPr="00B22E4C" w:rsidRDefault="00444CED" w:rsidP="008B772B">
      <w:pPr>
        <w:rPr>
          <w:rFonts w:asciiTheme="minorHAnsi" w:hAnsiTheme="minorHAnsi" w:cstheme="minorHAnsi"/>
          <w:b/>
          <w:sz w:val="20"/>
          <w:szCs w:val="20"/>
        </w:rPr>
      </w:pPr>
      <w:r w:rsidRPr="00B22E4C">
        <w:rPr>
          <w:rFonts w:asciiTheme="minorHAnsi" w:hAnsiTheme="minorHAnsi" w:cstheme="minorHAnsi"/>
          <w:b/>
          <w:sz w:val="20"/>
          <w:szCs w:val="20"/>
        </w:rPr>
        <w:t>Summary</w:t>
      </w:r>
    </w:p>
    <w:p w14:paraId="5E26A795" w14:textId="77777777" w:rsidR="00444CED" w:rsidRPr="00B22E4C" w:rsidRDefault="00444CED" w:rsidP="00444CED">
      <w:pPr>
        <w:pStyle w:val="ListParagraph"/>
        <w:numPr>
          <w:ilvl w:val="0"/>
          <w:numId w:val="5"/>
        </w:numPr>
        <w:rPr>
          <w:rFonts w:cstheme="minorHAnsi"/>
          <w:b/>
          <w:sz w:val="20"/>
          <w:szCs w:val="20"/>
        </w:rPr>
      </w:pPr>
      <w:r w:rsidRPr="00B22E4C">
        <w:rPr>
          <w:rFonts w:cstheme="minorHAnsi"/>
          <w:sz w:val="20"/>
          <w:szCs w:val="20"/>
        </w:rPr>
        <w:t xml:space="preserve">Baloxavir is a convenient single-dose regimen for the treatment of </w:t>
      </w:r>
      <w:r w:rsidR="00E32E76" w:rsidRPr="00B22E4C">
        <w:rPr>
          <w:rFonts w:cstheme="minorHAnsi"/>
          <w:sz w:val="20"/>
          <w:szCs w:val="20"/>
        </w:rPr>
        <w:t xml:space="preserve">uncomplicated </w:t>
      </w:r>
      <w:r w:rsidRPr="00B22E4C">
        <w:rPr>
          <w:rFonts w:cstheme="minorHAnsi"/>
          <w:sz w:val="20"/>
          <w:szCs w:val="20"/>
        </w:rPr>
        <w:t xml:space="preserve">influenza which costs $68.98 for a </w:t>
      </w:r>
      <w:r w:rsidR="002A0F79" w:rsidRPr="00B22E4C">
        <w:rPr>
          <w:rFonts w:cstheme="minorHAnsi"/>
          <w:sz w:val="20"/>
          <w:szCs w:val="20"/>
        </w:rPr>
        <w:t xml:space="preserve">treatment course for patients weighing </w:t>
      </w:r>
      <w:r w:rsidRPr="00B22E4C">
        <w:rPr>
          <w:rFonts w:cstheme="minorHAnsi"/>
          <w:sz w:val="20"/>
          <w:szCs w:val="20"/>
        </w:rPr>
        <w:t xml:space="preserve">&lt;80 kg and $137.96 for a treatment course for patients weighing </w:t>
      </w:r>
      <w:r w:rsidRPr="00B22E4C">
        <w:rPr>
          <w:rFonts w:cstheme="minorHAnsi"/>
          <w:sz w:val="20"/>
          <w:szCs w:val="20"/>
          <w:u w:val="single"/>
        </w:rPr>
        <w:t>&gt;</w:t>
      </w:r>
      <w:r w:rsidRPr="00B22E4C">
        <w:rPr>
          <w:rFonts w:cstheme="minorHAnsi"/>
          <w:sz w:val="20"/>
          <w:szCs w:val="20"/>
        </w:rPr>
        <w:t>80 kg.</w:t>
      </w:r>
    </w:p>
    <w:p w14:paraId="0BF7E376" w14:textId="77777777" w:rsidR="00C34724" w:rsidRPr="00B22E4C" w:rsidRDefault="00C34724" w:rsidP="00C34724">
      <w:pPr>
        <w:pStyle w:val="ListParagraph"/>
        <w:numPr>
          <w:ilvl w:val="0"/>
          <w:numId w:val="5"/>
        </w:numPr>
        <w:rPr>
          <w:rFonts w:cstheme="minorHAnsi"/>
          <w:b/>
          <w:sz w:val="20"/>
          <w:szCs w:val="20"/>
        </w:rPr>
      </w:pPr>
      <w:r w:rsidRPr="00B22E4C">
        <w:rPr>
          <w:rFonts w:cstheme="minorHAnsi"/>
          <w:sz w:val="20"/>
          <w:szCs w:val="20"/>
        </w:rPr>
        <w:t xml:space="preserve">Baloxavir demonstrated similar efficacy with regard to </w:t>
      </w:r>
      <w:r w:rsidRPr="00B22E4C">
        <w:rPr>
          <w:rFonts w:cs="Tahoma"/>
          <w:color w:val="000000" w:themeColor="text1"/>
          <w:sz w:val="20"/>
          <w:szCs w:val="20"/>
        </w:rPr>
        <w:t>time to alleviation of symptoms and had a similar tolerability profile compared to oseltamivir.</w:t>
      </w:r>
    </w:p>
    <w:p w14:paraId="3FDDE1A9" w14:textId="77777777" w:rsidR="00444CED" w:rsidRPr="00B22E4C" w:rsidRDefault="00444CED" w:rsidP="00444CED">
      <w:pPr>
        <w:pStyle w:val="ListParagraph"/>
        <w:numPr>
          <w:ilvl w:val="0"/>
          <w:numId w:val="5"/>
        </w:numPr>
        <w:rPr>
          <w:rFonts w:cstheme="minorHAnsi"/>
          <w:b/>
          <w:sz w:val="20"/>
          <w:szCs w:val="20"/>
        </w:rPr>
      </w:pPr>
      <w:r w:rsidRPr="00B22E4C">
        <w:rPr>
          <w:rFonts w:cstheme="minorHAnsi"/>
          <w:sz w:val="20"/>
          <w:szCs w:val="20"/>
        </w:rPr>
        <w:t xml:space="preserve">Baloxavir has only been studied for uncomplicated influenza in the outpatient setting, and has not been studied in </w:t>
      </w:r>
      <w:r w:rsidR="002A0F79" w:rsidRPr="00B22E4C">
        <w:rPr>
          <w:rFonts w:cstheme="minorHAnsi"/>
          <w:sz w:val="20"/>
          <w:szCs w:val="20"/>
        </w:rPr>
        <w:t>the inpatient setting or among</w:t>
      </w:r>
      <w:r w:rsidRPr="00B22E4C">
        <w:rPr>
          <w:rFonts w:cstheme="minorHAnsi"/>
          <w:sz w:val="20"/>
          <w:szCs w:val="20"/>
        </w:rPr>
        <w:t xml:space="preserve"> critically</w:t>
      </w:r>
      <w:r w:rsidR="002A0F79" w:rsidRPr="00B22E4C">
        <w:rPr>
          <w:rFonts w:cstheme="minorHAnsi"/>
          <w:sz w:val="20"/>
          <w:szCs w:val="20"/>
        </w:rPr>
        <w:t>-</w:t>
      </w:r>
      <w:r w:rsidRPr="00B22E4C">
        <w:rPr>
          <w:rFonts w:cstheme="minorHAnsi"/>
          <w:sz w:val="20"/>
          <w:szCs w:val="20"/>
        </w:rPr>
        <w:t>ill patients.</w:t>
      </w:r>
    </w:p>
    <w:p w14:paraId="2B7B71C4" w14:textId="6D6130E5" w:rsidR="000915D3" w:rsidRPr="000915D3" w:rsidRDefault="00C34724" w:rsidP="000915D3">
      <w:pPr>
        <w:pStyle w:val="ListParagraph"/>
        <w:numPr>
          <w:ilvl w:val="0"/>
          <w:numId w:val="5"/>
        </w:numPr>
        <w:rPr>
          <w:rFonts w:cstheme="minorHAnsi"/>
          <w:b/>
          <w:sz w:val="20"/>
          <w:szCs w:val="20"/>
        </w:rPr>
      </w:pPr>
      <w:r w:rsidRPr="00B22E4C">
        <w:rPr>
          <w:rFonts w:cstheme="minorHAnsi"/>
          <w:sz w:val="20"/>
          <w:szCs w:val="20"/>
        </w:rPr>
        <w:t>B</w:t>
      </w:r>
      <w:r w:rsidR="002A0F79" w:rsidRPr="00B22E4C">
        <w:rPr>
          <w:rFonts w:cstheme="minorHAnsi"/>
          <w:sz w:val="20"/>
          <w:szCs w:val="20"/>
        </w:rPr>
        <w:t xml:space="preserve">aloxavir may </w:t>
      </w:r>
      <w:r w:rsidR="00434CE8" w:rsidRPr="00B22E4C">
        <w:rPr>
          <w:rFonts w:cstheme="minorHAnsi"/>
          <w:sz w:val="20"/>
          <w:szCs w:val="20"/>
        </w:rPr>
        <w:t xml:space="preserve">be administered with or without food, however, co-administration with </w:t>
      </w:r>
      <w:r w:rsidR="002A0F79" w:rsidRPr="00B22E4C">
        <w:rPr>
          <w:rFonts w:cstheme="minorHAnsi"/>
          <w:sz w:val="20"/>
          <w:szCs w:val="20"/>
        </w:rPr>
        <w:t xml:space="preserve">polyvalent </w:t>
      </w:r>
      <w:r w:rsidR="00434CE8" w:rsidRPr="00B22E4C">
        <w:rPr>
          <w:rFonts w:cstheme="minorHAnsi"/>
          <w:sz w:val="20"/>
          <w:szCs w:val="20"/>
        </w:rPr>
        <w:t>cations sho</w:t>
      </w:r>
      <w:r w:rsidRPr="00B22E4C">
        <w:rPr>
          <w:rFonts w:cstheme="minorHAnsi"/>
          <w:sz w:val="20"/>
          <w:szCs w:val="20"/>
        </w:rPr>
        <w:t>uld be avoided due to the formation of a chelate which can significantly decrease baloxavir exposure. There is no information provided to determine whether or not baloxavir can be crushed.</w:t>
      </w:r>
    </w:p>
    <w:p w14:paraId="75AA14D4" w14:textId="77777777" w:rsidR="00C34724" w:rsidRPr="00B22E4C" w:rsidRDefault="00C34724" w:rsidP="00C34724">
      <w:pPr>
        <w:pStyle w:val="ListParagraph"/>
        <w:numPr>
          <w:ilvl w:val="0"/>
          <w:numId w:val="5"/>
        </w:numPr>
        <w:rPr>
          <w:rFonts w:cstheme="minorHAnsi"/>
          <w:b/>
          <w:sz w:val="20"/>
          <w:szCs w:val="20"/>
        </w:rPr>
      </w:pPr>
      <w:r w:rsidRPr="00B22E4C">
        <w:rPr>
          <w:rFonts w:cstheme="minorHAnsi"/>
          <w:sz w:val="20"/>
          <w:szCs w:val="20"/>
        </w:rPr>
        <w:t>The emergence of polyermase acidic protein variants with</w:t>
      </w:r>
      <w:r w:rsidRPr="00B22E4C">
        <w:rPr>
          <w:rFonts w:cstheme="minorHAnsi"/>
          <w:b/>
          <w:sz w:val="20"/>
          <w:szCs w:val="20"/>
        </w:rPr>
        <w:t xml:space="preserve"> </w:t>
      </w:r>
      <w:r w:rsidRPr="00B22E4C">
        <w:rPr>
          <w:rFonts w:cstheme="minorHAnsi"/>
          <w:sz w:val="20"/>
          <w:szCs w:val="20"/>
        </w:rPr>
        <w:t xml:space="preserve">138T/M/F substitutions conferring reduced susceptibility to baloxavir were detected in 2.2% of baloxavir recipients in the phase 2 trial and 9.7% of recipients in the phase 3 trial. These substitutions were sometimes </w:t>
      </w:r>
      <w:r w:rsidR="00E6395D" w:rsidRPr="00B22E4C">
        <w:rPr>
          <w:rFonts w:cstheme="minorHAnsi"/>
          <w:sz w:val="20"/>
          <w:szCs w:val="20"/>
        </w:rPr>
        <w:t>associated</w:t>
      </w:r>
      <w:r w:rsidRPr="00B22E4C">
        <w:rPr>
          <w:rFonts w:cstheme="minorHAnsi"/>
          <w:sz w:val="20"/>
          <w:szCs w:val="20"/>
        </w:rPr>
        <w:t xml:space="preserve"> with</w:t>
      </w:r>
      <w:r w:rsidRPr="00B22E4C">
        <w:rPr>
          <w:rFonts w:cstheme="minorHAnsi"/>
          <w:b/>
          <w:sz w:val="20"/>
          <w:szCs w:val="20"/>
        </w:rPr>
        <w:t xml:space="preserve"> </w:t>
      </w:r>
      <w:r w:rsidRPr="00B22E4C">
        <w:rPr>
          <w:rFonts w:cstheme="minorHAnsi"/>
          <w:sz w:val="20"/>
          <w:szCs w:val="20"/>
        </w:rPr>
        <w:t xml:space="preserve">rebounds in viral titers and prolongation of symptoms. </w:t>
      </w:r>
    </w:p>
    <w:p w14:paraId="5F84ADF5" w14:textId="697DFF85" w:rsidR="00444CED" w:rsidRPr="0055125C" w:rsidRDefault="00FF50A7" w:rsidP="0055125C">
      <w:pPr>
        <w:pStyle w:val="ListParagraph"/>
        <w:numPr>
          <w:ilvl w:val="0"/>
          <w:numId w:val="5"/>
        </w:numPr>
        <w:spacing w:after="0" w:line="240" w:lineRule="auto"/>
        <w:rPr>
          <w:rFonts w:cstheme="minorHAnsi"/>
          <w:b/>
          <w:sz w:val="20"/>
          <w:szCs w:val="20"/>
        </w:rPr>
      </w:pPr>
      <w:r w:rsidRPr="00B22E4C">
        <w:rPr>
          <w:sz w:val="20"/>
          <w:szCs w:val="20"/>
        </w:rPr>
        <w:t>In terms of neuraminidase inhibitor resistance, based on CDC data for the 2017-2018 influenza season, the majority of the tested influenza viruses showed susceptibility to the neuraminidase inhibitors (i.e., oseltamivir, zanamivir, or peramivir). 11 (1.0%) A(H1N1)pdm09 viruses were resistant to both oseltamivir and peramivir, but were sensitive to zanamivir.</w:t>
      </w:r>
    </w:p>
    <w:p w14:paraId="65DCF61C" w14:textId="4FCC4CA4" w:rsidR="00DD694D" w:rsidRDefault="00DD694D" w:rsidP="008B772B">
      <w:pPr>
        <w:rPr>
          <w:rFonts w:asciiTheme="minorHAnsi" w:hAnsiTheme="minorHAnsi" w:cstheme="minorHAnsi"/>
          <w:b/>
          <w:sz w:val="20"/>
          <w:szCs w:val="20"/>
        </w:rPr>
      </w:pPr>
    </w:p>
    <w:p w14:paraId="00127D07" w14:textId="0B62BC42" w:rsidR="008B772B" w:rsidRPr="00B22E4C" w:rsidRDefault="008B772B" w:rsidP="00FB13EE">
      <w:pPr>
        <w:rPr>
          <w:rFonts w:asciiTheme="minorHAnsi" w:hAnsiTheme="minorHAnsi" w:cstheme="minorHAnsi"/>
          <w:sz w:val="20"/>
          <w:szCs w:val="20"/>
        </w:rPr>
      </w:pPr>
      <w:r w:rsidRPr="00B22E4C">
        <w:rPr>
          <w:rFonts w:asciiTheme="minorHAnsi" w:hAnsiTheme="minorHAnsi" w:cstheme="minorHAnsi"/>
          <w:b/>
          <w:sz w:val="20"/>
          <w:szCs w:val="20"/>
        </w:rPr>
        <w:t>Recommendation</w:t>
      </w:r>
    </w:p>
    <w:p w14:paraId="60533408" w14:textId="3F27BB3A" w:rsidR="00434CE8" w:rsidRPr="00B22E4C" w:rsidRDefault="00434CE8" w:rsidP="00FB13EE">
      <w:pPr>
        <w:rPr>
          <w:rFonts w:asciiTheme="minorHAnsi" w:hAnsiTheme="minorHAnsi"/>
          <w:sz w:val="20"/>
          <w:szCs w:val="20"/>
        </w:rPr>
      </w:pPr>
      <w:r w:rsidRPr="00B22E4C">
        <w:rPr>
          <w:rFonts w:asciiTheme="minorHAnsi" w:hAnsiTheme="minorHAnsi"/>
          <w:sz w:val="20"/>
          <w:szCs w:val="20"/>
        </w:rPr>
        <w:t xml:space="preserve">Baloxavir </w:t>
      </w:r>
      <w:r w:rsidR="00B13B37">
        <w:rPr>
          <w:rFonts w:asciiTheme="minorHAnsi" w:hAnsiTheme="minorHAnsi"/>
          <w:sz w:val="20"/>
          <w:szCs w:val="20"/>
        </w:rPr>
        <w:t xml:space="preserve">marboxil should be approved for formulary use, </w:t>
      </w:r>
      <w:r w:rsidR="003D2F75">
        <w:rPr>
          <w:rFonts w:asciiTheme="minorHAnsi" w:hAnsiTheme="minorHAnsi"/>
          <w:sz w:val="20"/>
          <w:szCs w:val="20"/>
        </w:rPr>
        <w:t>however, it</w:t>
      </w:r>
      <w:r w:rsidR="00B13B37">
        <w:rPr>
          <w:rFonts w:asciiTheme="minorHAnsi" w:hAnsiTheme="minorHAnsi"/>
          <w:sz w:val="20"/>
          <w:szCs w:val="20"/>
        </w:rPr>
        <w:t xml:space="preserve"> should be reserved only for patients with the following use criteria </w:t>
      </w:r>
      <w:r w:rsidRPr="00B22E4C">
        <w:rPr>
          <w:rFonts w:asciiTheme="minorHAnsi" w:hAnsiTheme="minorHAnsi"/>
          <w:sz w:val="20"/>
          <w:szCs w:val="20"/>
        </w:rPr>
        <w:t>due</w:t>
      </w:r>
      <w:r w:rsidR="00B22A70">
        <w:rPr>
          <w:rFonts w:asciiTheme="minorHAnsi" w:hAnsiTheme="minorHAnsi"/>
          <w:sz w:val="20"/>
          <w:szCs w:val="20"/>
        </w:rPr>
        <w:t xml:space="preserve"> to</w:t>
      </w:r>
      <w:r w:rsidRPr="00B22E4C">
        <w:rPr>
          <w:rFonts w:asciiTheme="minorHAnsi" w:hAnsiTheme="minorHAnsi"/>
          <w:sz w:val="20"/>
          <w:szCs w:val="20"/>
        </w:rPr>
        <w:t xml:space="preserve"> </w:t>
      </w:r>
      <w:r w:rsidR="00B22A70" w:rsidRPr="00B22E4C">
        <w:rPr>
          <w:rFonts w:asciiTheme="minorHAnsi" w:hAnsiTheme="minorHAnsi"/>
          <w:sz w:val="20"/>
          <w:szCs w:val="20"/>
        </w:rPr>
        <w:t xml:space="preserve">concern for the development of resistance </w:t>
      </w:r>
      <w:r w:rsidR="00B22A70">
        <w:rPr>
          <w:rFonts w:asciiTheme="minorHAnsi" w:hAnsiTheme="minorHAnsi"/>
          <w:sz w:val="20"/>
          <w:szCs w:val="20"/>
        </w:rPr>
        <w:t>seen in phase 2 and 3 clinical trials and</w:t>
      </w:r>
      <w:r w:rsidRPr="00B22E4C">
        <w:rPr>
          <w:rFonts w:asciiTheme="minorHAnsi" w:hAnsiTheme="minorHAnsi"/>
          <w:sz w:val="20"/>
          <w:szCs w:val="20"/>
        </w:rPr>
        <w:t xml:space="preserve"> lack of clinical efficacy data in </w:t>
      </w:r>
      <w:r w:rsidR="007E6BB6">
        <w:rPr>
          <w:rFonts w:asciiTheme="minorHAnsi" w:hAnsiTheme="minorHAnsi"/>
          <w:sz w:val="20"/>
          <w:szCs w:val="20"/>
        </w:rPr>
        <w:t>hospitalized and critically ill patients in the ICU</w:t>
      </w:r>
      <w:r w:rsidR="007E6BB6" w:rsidRPr="00B22E4C">
        <w:rPr>
          <w:rFonts w:asciiTheme="minorHAnsi" w:hAnsiTheme="minorHAnsi"/>
          <w:sz w:val="20"/>
          <w:szCs w:val="20"/>
        </w:rPr>
        <w:t xml:space="preserve"> </w:t>
      </w:r>
      <w:r w:rsidRPr="00B22E4C">
        <w:rPr>
          <w:rFonts w:asciiTheme="minorHAnsi" w:hAnsiTheme="minorHAnsi"/>
          <w:sz w:val="20"/>
          <w:szCs w:val="20"/>
        </w:rPr>
        <w:t>with influenza</w:t>
      </w:r>
      <w:r w:rsidR="0055125C">
        <w:rPr>
          <w:rFonts w:asciiTheme="minorHAnsi" w:hAnsiTheme="minorHAnsi"/>
          <w:sz w:val="20"/>
          <w:szCs w:val="20"/>
        </w:rPr>
        <w:t>.</w:t>
      </w:r>
    </w:p>
    <w:p w14:paraId="247B1E3D" w14:textId="7246764F" w:rsidR="004E766C" w:rsidRDefault="004E766C" w:rsidP="00FB13EE">
      <w:pPr>
        <w:rPr>
          <w:rFonts w:asciiTheme="minorHAnsi" w:hAnsiTheme="minorHAnsi"/>
          <w:sz w:val="20"/>
          <w:szCs w:val="20"/>
        </w:rPr>
      </w:pPr>
    </w:p>
    <w:p w14:paraId="76FCEE31" w14:textId="0A2DD8EA" w:rsidR="0098653F" w:rsidRDefault="0055125C" w:rsidP="00FB13EE">
      <w:pPr>
        <w:ind w:left="360"/>
        <w:rPr>
          <w:rFonts w:asciiTheme="minorHAnsi" w:hAnsiTheme="minorHAnsi"/>
          <w:b/>
          <w:sz w:val="20"/>
          <w:szCs w:val="20"/>
        </w:rPr>
      </w:pPr>
      <w:r w:rsidRPr="0055125C">
        <w:rPr>
          <w:rFonts w:asciiTheme="minorHAnsi" w:hAnsiTheme="minorHAnsi"/>
          <w:b/>
          <w:sz w:val="20"/>
          <w:szCs w:val="20"/>
        </w:rPr>
        <w:t>Criteria for use:</w:t>
      </w:r>
    </w:p>
    <w:p w14:paraId="094A81DE" w14:textId="4948554B" w:rsidR="00B22E4C" w:rsidRPr="00B22E4C" w:rsidRDefault="00B22E4C" w:rsidP="00FB13EE">
      <w:pPr>
        <w:ind w:left="720"/>
        <w:rPr>
          <w:rFonts w:asciiTheme="minorHAnsi" w:hAnsiTheme="minorHAnsi"/>
          <w:b/>
          <w:sz w:val="20"/>
          <w:szCs w:val="20"/>
        </w:rPr>
      </w:pPr>
      <w:r w:rsidRPr="00B22E4C">
        <w:rPr>
          <w:rFonts w:asciiTheme="minorHAnsi" w:hAnsiTheme="minorHAnsi"/>
          <w:b/>
          <w:sz w:val="20"/>
          <w:szCs w:val="20"/>
        </w:rPr>
        <w:t>Inpatients</w:t>
      </w:r>
    </w:p>
    <w:p w14:paraId="0A64DE92" w14:textId="742637AA" w:rsidR="00E6395D" w:rsidRPr="00B22E4C" w:rsidRDefault="00E6395D" w:rsidP="00FB13EE">
      <w:pPr>
        <w:pStyle w:val="ListParagraph"/>
        <w:numPr>
          <w:ilvl w:val="0"/>
          <w:numId w:val="37"/>
        </w:numPr>
        <w:spacing w:after="0" w:line="240" w:lineRule="auto"/>
        <w:ind w:left="1440"/>
        <w:rPr>
          <w:sz w:val="20"/>
          <w:szCs w:val="20"/>
        </w:rPr>
      </w:pPr>
      <w:r w:rsidRPr="00B22E4C">
        <w:rPr>
          <w:sz w:val="20"/>
          <w:szCs w:val="20"/>
        </w:rPr>
        <w:t xml:space="preserve">Patients </w:t>
      </w:r>
      <w:r w:rsidRPr="00B22E4C">
        <w:rPr>
          <w:sz w:val="20"/>
          <w:szCs w:val="20"/>
          <w:u w:val="single"/>
        </w:rPr>
        <w:t>&gt;</w:t>
      </w:r>
      <w:r w:rsidRPr="00B22E4C">
        <w:rPr>
          <w:sz w:val="20"/>
          <w:szCs w:val="20"/>
        </w:rPr>
        <w:t xml:space="preserve"> 12 years of age </w:t>
      </w:r>
      <w:r w:rsidR="000172A6">
        <w:rPr>
          <w:sz w:val="20"/>
          <w:szCs w:val="20"/>
        </w:rPr>
        <w:t xml:space="preserve">who have been symptomatic for </w:t>
      </w:r>
      <w:r w:rsidR="000172A6">
        <w:rPr>
          <w:sz w:val="20"/>
          <w:szCs w:val="20"/>
          <w:u w:val="single"/>
        </w:rPr>
        <w:t>&lt;</w:t>
      </w:r>
      <w:r w:rsidR="000172A6">
        <w:rPr>
          <w:sz w:val="20"/>
          <w:szCs w:val="20"/>
        </w:rPr>
        <w:t xml:space="preserve"> 48 hours </w:t>
      </w:r>
      <w:r w:rsidRPr="00B22E4C">
        <w:rPr>
          <w:sz w:val="20"/>
          <w:szCs w:val="20"/>
        </w:rPr>
        <w:t>with neuraminidase inhibitor-resistant strains.</w:t>
      </w:r>
    </w:p>
    <w:p w14:paraId="5ABB2E00" w14:textId="77777777" w:rsidR="00B22E4C" w:rsidRPr="00B22E4C" w:rsidRDefault="00B22E4C" w:rsidP="00FB13EE">
      <w:pPr>
        <w:pStyle w:val="ListParagraph"/>
        <w:numPr>
          <w:ilvl w:val="0"/>
          <w:numId w:val="37"/>
        </w:numPr>
        <w:spacing w:after="0" w:line="240" w:lineRule="auto"/>
        <w:ind w:left="1440"/>
        <w:rPr>
          <w:rFonts w:cstheme="minorHAnsi"/>
          <w:b/>
          <w:sz w:val="20"/>
          <w:szCs w:val="20"/>
        </w:rPr>
      </w:pPr>
      <w:r w:rsidRPr="00B22E4C">
        <w:rPr>
          <w:sz w:val="20"/>
          <w:szCs w:val="20"/>
        </w:rPr>
        <w:t>ID consult</w:t>
      </w:r>
      <w:r w:rsidR="00E6395D" w:rsidRPr="00B22E4C">
        <w:rPr>
          <w:sz w:val="20"/>
          <w:szCs w:val="20"/>
        </w:rPr>
        <w:t xml:space="preserve"> is required prior to use</w:t>
      </w:r>
      <w:r w:rsidR="007E6BB6">
        <w:rPr>
          <w:sz w:val="20"/>
          <w:szCs w:val="20"/>
        </w:rPr>
        <w:t xml:space="preserve"> and will be added as a restricted Tier 1 antimicrobial agent</w:t>
      </w:r>
      <w:r>
        <w:rPr>
          <w:sz w:val="20"/>
          <w:szCs w:val="20"/>
        </w:rPr>
        <w:t>.</w:t>
      </w:r>
    </w:p>
    <w:p w14:paraId="59E0A139" w14:textId="09D0EFA4" w:rsidR="00B22E4C" w:rsidRPr="00B22E4C" w:rsidRDefault="00B22E4C" w:rsidP="00FB13EE">
      <w:pPr>
        <w:ind w:left="720"/>
        <w:rPr>
          <w:rFonts w:asciiTheme="minorHAnsi" w:hAnsiTheme="minorHAnsi" w:cstheme="minorHAnsi"/>
          <w:b/>
          <w:sz w:val="20"/>
          <w:szCs w:val="20"/>
        </w:rPr>
      </w:pPr>
      <w:r w:rsidRPr="00B22E4C">
        <w:rPr>
          <w:rFonts w:asciiTheme="minorHAnsi" w:hAnsiTheme="minorHAnsi" w:cstheme="minorHAnsi"/>
          <w:b/>
          <w:sz w:val="20"/>
          <w:szCs w:val="20"/>
        </w:rPr>
        <w:t>Outpatients</w:t>
      </w:r>
      <w:r w:rsidR="002A2310">
        <w:rPr>
          <w:rFonts w:asciiTheme="minorHAnsi" w:hAnsiTheme="minorHAnsi" w:cstheme="minorHAnsi"/>
          <w:b/>
          <w:sz w:val="20"/>
          <w:szCs w:val="20"/>
        </w:rPr>
        <w:t xml:space="preserve"> and Emergency Department</w:t>
      </w:r>
    </w:p>
    <w:p w14:paraId="1995DEC7" w14:textId="77777777" w:rsidR="007E6BB6" w:rsidRPr="007E6BB6" w:rsidRDefault="007E6BB6" w:rsidP="00FB13EE">
      <w:pPr>
        <w:pStyle w:val="ListParagraph"/>
        <w:numPr>
          <w:ilvl w:val="0"/>
          <w:numId w:val="38"/>
        </w:numPr>
        <w:spacing w:after="0" w:line="240" w:lineRule="auto"/>
        <w:ind w:left="1440"/>
        <w:rPr>
          <w:rFonts w:cstheme="minorHAnsi"/>
          <w:sz w:val="20"/>
          <w:szCs w:val="20"/>
        </w:rPr>
      </w:pPr>
      <w:r w:rsidRPr="007E6BB6">
        <w:rPr>
          <w:rFonts w:cstheme="minorHAnsi"/>
          <w:sz w:val="20"/>
          <w:szCs w:val="20"/>
        </w:rPr>
        <w:t>Oseltamivir is preferred for the treatment of influenza A and B. Zanamavir is the preferred alternative to oseltamivir</w:t>
      </w:r>
      <w:r>
        <w:rPr>
          <w:rFonts w:cstheme="minorHAnsi"/>
          <w:sz w:val="20"/>
          <w:szCs w:val="20"/>
        </w:rPr>
        <w:t>.</w:t>
      </w:r>
    </w:p>
    <w:p w14:paraId="25902E51" w14:textId="64AEF174" w:rsidR="00B22E4C" w:rsidRPr="003D2F75" w:rsidRDefault="00B22E4C" w:rsidP="00FB13EE">
      <w:pPr>
        <w:pStyle w:val="ListParagraph"/>
        <w:numPr>
          <w:ilvl w:val="0"/>
          <w:numId w:val="38"/>
        </w:numPr>
        <w:spacing w:after="0" w:line="240" w:lineRule="auto"/>
        <w:ind w:left="1440"/>
        <w:rPr>
          <w:rFonts w:cstheme="minorHAnsi"/>
          <w:sz w:val="20"/>
          <w:szCs w:val="20"/>
        </w:rPr>
      </w:pPr>
      <w:r w:rsidRPr="00B22E4C">
        <w:rPr>
          <w:rFonts w:cstheme="minorHAnsi"/>
          <w:sz w:val="20"/>
          <w:szCs w:val="20"/>
        </w:rPr>
        <w:lastRenderedPageBreak/>
        <w:t>Baloxavir should be reserved for patients</w:t>
      </w:r>
      <w:r>
        <w:rPr>
          <w:rFonts w:cstheme="minorHAnsi"/>
          <w:sz w:val="20"/>
          <w:szCs w:val="20"/>
        </w:rPr>
        <w:t xml:space="preserve"> </w:t>
      </w:r>
      <w:r w:rsidRPr="00B22E4C">
        <w:rPr>
          <w:sz w:val="20"/>
          <w:szCs w:val="20"/>
          <w:u w:val="single"/>
        </w:rPr>
        <w:t>&gt;</w:t>
      </w:r>
      <w:r w:rsidRPr="00B22E4C">
        <w:rPr>
          <w:sz w:val="20"/>
          <w:szCs w:val="20"/>
        </w:rPr>
        <w:t xml:space="preserve"> 12 years of age</w:t>
      </w:r>
      <w:r w:rsidRPr="00B22E4C">
        <w:rPr>
          <w:rFonts w:cstheme="minorHAnsi"/>
          <w:sz w:val="20"/>
          <w:szCs w:val="20"/>
        </w:rPr>
        <w:t xml:space="preserve"> </w:t>
      </w:r>
      <w:r w:rsidR="000172A6">
        <w:rPr>
          <w:sz w:val="20"/>
          <w:szCs w:val="20"/>
        </w:rPr>
        <w:t xml:space="preserve">who have been symptomatic for </w:t>
      </w:r>
      <w:r w:rsidR="000172A6">
        <w:rPr>
          <w:sz w:val="20"/>
          <w:szCs w:val="20"/>
          <w:u w:val="single"/>
        </w:rPr>
        <w:t>&lt;</w:t>
      </w:r>
      <w:r w:rsidR="000172A6">
        <w:rPr>
          <w:sz w:val="20"/>
          <w:szCs w:val="20"/>
        </w:rPr>
        <w:t xml:space="preserve"> 48 hours </w:t>
      </w:r>
      <w:r w:rsidRPr="00B22E4C">
        <w:rPr>
          <w:rFonts w:cstheme="minorHAnsi"/>
          <w:sz w:val="20"/>
          <w:szCs w:val="20"/>
        </w:rPr>
        <w:t>with</w:t>
      </w:r>
      <w:r>
        <w:rPr>
          <w:rFonts w:cstheme="minorHAnsi"/>
          <w:sz w:val="20"/>
          <w:szCs w:val="20"/>
        </w:rPr>
        <w:t xml:space="preserve"> intolerance to oseltamivir (i.e</w:t>
      </w:r>
      <w:r w:rsidRPr="00B22E4C">
        <w:rPr>
          <w:rFonts w:cstheme="minorHAnsi"/>
          <w:sz w:val="20"/>
          <w:szCs w:val="20"/>
        </w:rPr>
        <w:t xml:space="preserve">. </w:t>
      </w:r>
      <w:r w:rsidR="00E04CB3">
        <w:rPr>
          <w:rFonts w:cstheme="minorHAnsi"/>
          <w:sz w:val="20"/>
          <w:szCs w:val="20"/>
        </w:rPr>
        <w:t>neuropsychiatric adverse events</w:t>
      </w:r>
      <w:r w:rsidRPr="00B22E4C">
        <w:rPr>
          <w:rFonts w:cstheme="minorHAnsi"/>
          <w:sz w:val="20"/>
          <w:szCs w:val="20"/>
        </w:rPr>
        <w:t>) or significant compliance concerns</w:t>
      </w:r>
      <w:r w:rsidR="00E50918">
        <w:rPr>
          <w:rFonts w:cstheme="minorHAnsi"/>
          <w:sz w:val="20"/>
          <w:szCs w:val="20"/>
        </w:rPr>
        <w:t xml:space="preserve"> with oseltamivir</w:t>
      </w:r>
      <w:r>
        <w:rPr>
          <w:rFonts w:cstheme="minorHAnsi"/>
          <w:sz w:val="20"/>
          <w:szCs w:val="20"/>
        </w:rPr>
        <w:t>,</w:t>
      </w:r>
      <w:r w:rsidRPr="00B22E4C">
        <w:rPr>
          <w:rFonts w:cstheme="minorHAnsi"/>
          <w:sz w:val="20"/>
          <w:szCs w:val="20"/>
        </w:rPr>
        <w:t xml:space="preserve"> but should not be routinely used due to low barrier to resistance.</w:t>
      </w:r>
      <w:r>
        <w:rPr>
          <w:rFonts w:cstheme="minorHAnsi"/>
          <w:sz w:val="20"/>
          <w:szCs w:val="20"/>
        </w:rPr>
        <w:t xml:space="preserve"> </w:t>
      </w:r>
    </w:p>
    <w:p w14:paraId="4CBDEF32" w14:textId="77777777" w:rsidR="00FB13EE" w:rsidRDefault="00FB13EE" w:rsidP="00FB13EE">
      <w:pPr>
        <w:rPr>
          <w:rFonts w:asciiTheme="minorHAnsi" w:hAnsiTheme="minorHAnsi" w:cstheme="minorHAnsi"/>
          <w:b/>
          <w:sz w:val="20"/>
          <w:szCs w:val="20"/>
        </w:rPr>
      </w:pPr>
    </w:p>
    <w:p w14:paraId="6AAC6BD4" w14:textId="11E657AB" w:rsidR="008B772B" w:rsidRPr="00B22E4C" w:rsidRDefault="008B772B" w:rsidP="00FB13EE">
      <w:pPr>
        <w:rPr>
          <w:rFonts w:asciiTheme="minorHAnsi" w:hAnsiTheme="minorHAnsi" w:cstheme="minorHAnsi"/>
          <w:b/>
          <w:sz w:val="20"/>
          <w:szCs w:val="20"/>
        </w:rPr>
      </w:pPr>
      <w:bookmarkStart w:id="0" w:name="_GoBack"/>
      <w:bookmarkEnd w:id="0"/>
      <w:r w:rsidRPr="00B22E4C">
        <w:rPr>
          <w:rFonts w:asciiTheme="minorHAnsi" w:hAnsiTheme="minorHAnsi" w:cstheme="minorHAnsi"/>
          <w:b/>
          <w:sz w:val="20"/>
          <w:szCs w:val="20"/>
        </w:rPr>
        <w:t>References</w:t>
      </w:r>
    </w:p>
    <w:p w14:paraId="73B1A557" w14:textId="77777777" w:rsidR="00200B80" w:rsidRPr="00B22E4C" w:rsidRDefault="00200B80" w:rsidP="00FB13EE">
      <w:pPr>
        <w:pStyle w:val="ListParagraph"/>
        <w:numPr>
          <w:ilvl w:val="0"/>
          <w:numId w:val="35"/>
        </w:numPr>
        <w:spacing w:after="0" w:line="240" w:lineRule="auto"/>
        <w:rPr>
          <w:rFonts w:cs="Calibri"/>
          <w:color w:val="000000" w:themeColor="text1"/>
          <w:sz w:val="20"/>
          <w:szCs w:val="20"/>
        </w:rPr>
      </w:pPr>
      <w:r w:rsidRPr="00B22E4C">
        <w:rPr>
          <w:rFonts w:cs="Calibri"/>
          <w:color w:val="000000" w:themeColor="text1"/>
          <w:sz w:val="20"/>
          <w:szCs w:val="20"/>
        </w:rPr>
        <w:t>Baloxavir [package insert]. Osaka, Japan: Shionogi &amp; Co., Ltd. 2018.</w:t>
      </w:r>
    </w:p>
    <w:p w14:paraId="0120E814" w14:textId="77777777" w:rsidR="00200B80" w:rsidRPr="00B22E4C" w:rsidRDefault="00200B80" w:rsidP="00FB13EE">
      <w:pPr>
        <w:pStyle w:val="ListParagraph"/>
        <w:numPr>
          <w:ilvl w:val="0"/>
          <w:numId w:val="35"/>
        </w:numPr>
        <w:spacing w:after="0" w:line="240" w:lineRule="auto"/>
        <w:rPr>
          <w:rFonts w:cs="Calibri"/>
          <w:color w:val="000000" w:themeColor="text1"/>
          <w:sz w:val="20"/>
          <w:szCs w:val="20"/>
        </w:rPr>
      </w:pPr>
      <w:r w:rsidRPr="00B22E4C">
        <w:rPr>
          <w:rFonts w:cs="Calibri"/>
          <w:color w:val="000000" w:themeColor="text1"/>
          <w:sz w:val="20"/>
          <w:szCs w:val="20"/>
        </w:rPr>
        <w:t>Oseltamivir [package insert]. San Francisco, CA: Genentech, Inc. 1999.</w:t>
      </w:r>
    </w:p>
    <w:p w14:paraId="66740947" w14:textId="77777777" w:rsidR="00D0194C" w:rsidRPr="00B22E4C" w:rsidRDefault="00200B80" w:rsidP="00FB13EE">
      <w:pPr>
        <w:pStyle w:val="ListParagraph"/>
        <w:numPr>
          <w:ilvl w:val="0"/>
          <w:numId w:val="35"/>
        </w:numPr>
        <w:spacing w:after="0" w:line="240" w:lineRule="auto"/>
        <w:rPr>
          <w:rFonts w:cs="Calibri"/>
          <w:color w:val="000000" w:themeColor="text1"/>
          <w:sz w:val="20"/>
          <w:szCs w:val="20"/>
        </w:rPr>
      </w:pPr>
      <w:r w:rsidRPr="00B22E4C">
        <w:rPr>
          <w:rFonts w:cs="Calibri"/>
          <w:color w:val="000000" w:themeColor="text1"/>
          <w:sz w:val="20"/>
          <w:szCs w:val="20"/>
        </w:rPr>
        <w:t>Hayden FG, Sugaya N, Hirotsu N, et al. Baloxavir Marboxil for Uncomplicated Influenza</w:t>
      </w:r>
      <w:r w:rsidR="00D0194C" w:rsidRPr="00B22E4C">
        <w:rPr>
          <w:rFonts w:cs="Calibri"/>
          <w:color w:val="000000" w:themeColor="text1"/>
          <w:sz w:val="20"/>
          <w:szCs w:val="20"/>
        </w:rPr>
        <w:t xml:space="preserve"> i</w:t>
      </w:r>
      <w:r w:rsidRPr="00B22E4C">
        <w:rPr>
          <w:rFonts w:cs="Calibri"/>
          <w:color w:val="000000" w:themeColor="text1"/>
          <w:sz w:val="20"/>
          <w:szCs w:val="20"/>
        </w:rPr>
        <w:t xml:space="preserve">n Adults and Adolescents. </w:t>
      </w:r>
      <w:r w:rsidRPr="00B22E4C">
        <w:rPr>
          <w:rFonts w:cs="Calibri"/>
          <w:i/>
          <w:color w:val="000000" w:themeColor="text1"/>
          <w:sz w:val="20"/>
          <w:szCs w:val="20"/>
        </w:rPr>
        <w:t>N Engl J Med</w:t>
      </w:r>
      <w:r w:rsidRPr="00B22E4C">
        <w:rPr>
          <w:rFonts w:cs="Calibri"/>
          <w:color w:val="000000" w:themeColor="text1"/>
          <w:sz w:val="20"/>
          <w:szCs w:val="20"/>
        </w:rPr>
        <w:t>. 2018;379(10):913-923.</w:t>
      </w:r>
    </w:p>
    <w:p w14:paraId="0C94C39C" w14:textId="77777777" w:rsidR="00372C58" w:rsidRPr="00B22E4C" w:rsidRDefault="00D0194C" w:rsidP="00FB13EE">
      <w:pPr>
        <w:pStyle w:val="ListParagraph"/>
        <w:numPr>
          <w:ilvl w:val="0"/>
          <w:numId w:val="35"/>
        </w:numPr>
        <w:spacing w:after="0" w:line="240" w:lineRule="auto"/>
        <w:rPr>
          <w:rFonts w:cs="Calibri"/>
          <w:color w:val="000000" w:themeColor="text1"/>
          <w:sz w:val="20"/>
          <w:szCs w:val="20"/>
        </w:rPr>
      </w:pPr>
      <w:r w:rsidRPr="00B22E4C">
        <w:rPr>
          <w:rFonts w:cs="Calibri"/>
          <w:color w:val="000000" w:themeColor="text1"/>
          <w:sz w:val="20"/>
          <w:szCs w:val="20"/>
        </w:rPr>
        <w:t>Centers for Disease Control and Prevention. (2018).  Influenza Antiviral Drug Resistance. Retrieved from https://www.cdc.gov/flu/about/qa/antiviralresistance.htm</w:t>
      </w:r>
    </w:p>
    <w:p w14:paraId="4220FC4E" w14:textId="77777777" w:rsidR="00AF626A" w:rsidRPr="00B22E4C" w:rsidRDefault="00AF626A" w:rsidP="00FB13EE">
      <w:pPr>
        <w:rPr>
          <w:rFonts w:asciiTheme="minorHAnsi" w:hAnsiTheme="minorHAnsi" w:cstheme="minorHAnsi"/>
          <w:b/>
          <w:sz w:val="20"/>
          <w:szCs w:val="20"/>
        </w:rPr>
      </w:pPr>
    </w:p>
    <w:p w14:paraId="067C24DD" w14:textId="77777777" w:rsidR="008B772B" w:rsidRPr="00B22E4C" w:rsidRDefault="008B772B" w:rsidP="00FB13EE">
      <w:pPr>
        <w:rPr>
          <w:rFonts w:asciiTheme="minorHAnsi" w:hAnsiTheme="minorHAnsi" w:cstheme="minorHAnsi"/>
          <w:sz w:val="20"/>
          <w:szCs w:val="20"/>
        </w:rPr>
      </w:pPr>
      <w:r w:rsidRPr="00B22E4C">
        <w:rPr>
          <w:rFonts w:asciiTheme="minorHAnsi" w:hAnsiTheme="minorHAnsi" w:cstheme="minorHAnsi"/>
          <w:b/>
          <w:sz w:val="20"/>
          <w:szCs w:val="20"/>
        </w:rPr>
        <w:t>Prepared by:</w:t>
      </w:r>
      <w:r w:rsidRPr="00B22E4C">
        <w:rPr>
          <w:rFonts w:asciiTheme="minorHAnsi" w:hAnsiTheme="minorHAnsi" w:cstheme="minorHAnsi"/>
          <w:b/>
          <w:sz w:val="20"/>
          <w:szCs w:val="20"/>
        </w:rPr>
        <w:tab/>
      </w:r>
      <w:r w:rsidR="00200B80" w:rsidRPr="00B22E4C">
        <w:rPr>
          <w:rFonts w:asciiTheme="minorHAnsi" w:hAnsiTheme="minorHAnsi" w:cstheme="minorHAnsi"/>
          <w:sz w:val="20"/>
          <w:szCs w:val="20"/>
        </w:rPr>
        <w:t>Alison Lew</w:t>
      </w:r>
      <w:r w:rsidRPr="00B22E4C">
        <w:rPr>
          <w:rFonts w:asciiTheme="minorHAnsi" w:hAnsiTheme="minorHAnsi" w:cstheme="minorHAnsi"/>
          <w:sz w:val="20"/>
          <w:szCs w:val="20"/>
        </w:rPr>
        <w:t>, Pharm.D.</w:t>
      </w:r>
    </w:p>
    <w:p w14:paraId="639EF4AB" w14:textId="77777777" w:rsidR="0005068F" w:rsidRPr="00B22E4C" w:rsidRDefault="008B772B" w:rsidP="00FB13EE">
      <w:pPr>
        <w:rPr>
          <w:rFonts w:asciiTheme="minorHAnsi" w:hAnsiTheme="minorHAnsi" w:cstheme="minorHAnsi"/>
          <w:sz w:val="20"/>
          <w:szCs w:val="20"/>
        </w:rPr>
        <w:sectPr w:rsidR="0005068F" w:rsidRPr="00B22E4C" w:rsidSect="00444CED">
          <w:footerReference w:type="default" r:id="rId7"/>
          <w:pgSz w:w="12240" w:h="15840"/>
          <w:pgMar w:top="1440" w:right="1080" w:bottom="1440" w:left="1080" w:header="720" w:footer="720" w:gutter="0"/>
          <w:cols w:space="720"/>
          <w:docGrid w:linePitch="360"/>
        </w:sectPr>
      </w:pPr>
      <w:r w:rsidRPr="00B22E4C">
        <w:rPr>
          <w:rFonts w:asciiTheme="minorHAnsi" w:hAnsiTheme="minorHAnsi" w:cstheme="minorHAnsi"/>
          <w:sz w:val="20"/>
          <w:szCs w:val="20"/>
        </w:rPr>
        <w:t xml:space="preserve"> </w:t>
      </w:r>
      <w:r w:rsidRPr="00B22E4C">
        <w:rPr>
          <w:rFonts w:asciiTheme="minorHAnsi" w:hAnsiTheme="minorHAnsi" w:cstheme="minorHAnsi"/>
          <w:sz w:val="20"/>
          <w:szCs w:val="20"/>
        </w:rPr>
        <w:tab/>
      </w:r>
      <w:r w:rsidRPr="00B22E4C">
        <w:rPr>
          <w:rFonts w:asciiTheme="minorHAnsi" w:hAnsiTheme="minorHAnsi" w:cstheme="minorHAnsi"/>
          <w:sz w:val="20"/>
          <w:szCs w:val="20"/>
        </w:rPr>
        <w:tab/>
      </w:r>
      <w:r w:rsidR="0005068F" w:rsidRPr="00B22E4C">
        <w:rPr>
          <w:rFonts w:asciiTheme="minorHAnsi" w:hAnsiTheme="minorHAnsi" w:cstheme="minorHAnsi"/>
          <w:sz w:val="20"/>
          <w:szCs w:val="20"/>
        </w:rPr>
        <w:t>December 2018</w:t>
      </w:r>
    </w:p>
    <w:p w14:paraId="51713A38" w14:textId="77777777" w:rsidR="00200B80" w:rsidRPr="00B22E4C" w:rsidRDefault="00637D2B" w:rsidP="00637D2B">
      <w:pPr>
        <w:jc w:val="center"/>
        <w:rPr>
          <w:rFonts w:asciiTheme="minorHAnsi" w:hAnsiTheme="minorHAnsi" w:cstheme="minorHAnsi"/>
          <w:b/>
          <w:sz w:val="20"/>
          <w:szCs w:val="20"/>
        </w:rPr>
      </w:pPr>
      <w:r w:rsidRPr="00B22E4C">
        <w:rPr>
          <w:rFonts w:asciiTheme="minorHAnsi" w:hAnsiTheme="minorHAnsi" w:cstheme="minorHAnsi"/>
          <w:b/>
          <w:sz w:val="20"/>
          <w:szCs w:val="20"/>
        </w:rPr>
        <w:lastRenderedPageBreak/>
        <w:t>Table 1:  Clinical Studies of Baloxavir for the Treatment of Influenza Virus Infection</w:t>
      </w:r>
    </w:p>
    <w:p w14:paraId="7FD368C1" w14:textId="77777777" w:rsidR="004A0576" w:rsidRPr="00B22E4C" w:rsidRDefault="004A0576" w:rsidP="00637D2B">
      <w:pPr>
        <w:jc w:val="center"/>
        <w:rPr>
          <w:rFonts w:asciiTheme="minorHAnsi" w:hAnsiTheme="minorHAnsi" w:cs="Tahoma"/>
          <w:b/>
          <w:color w:val="FF0000"/>
          <w:sz w:val="4"/>
          <w:szCs w:val="4"/>
          <w:u w:val="single"/>
        </w:rPr>
      </w:pPr>
    </w:p>
    <w:tbl>
      <w:tblPr>
        <w:tblStyle w:val="TableGrid"/>
        <w:tblW w:w="11520" w:type="dxa"/>
        <w:tblInd w:w="-365" w:type="dxa"/>
        <w:tblLayout w:type="fixed"/>
        <w:tblLook w:val="04A0" w:firstRow="1" w:lastRow="0" w:firstColumn="1" w:lastColumn="0" w:noHBand="0" w:noVBand="1"/>
      </w:tblPr>
      <w:tblGrid>
        <w:gridCol w:w="1530"/>
        <w:gridCol w:w="4590"/>
        <w:gridCol w:w="5400"/>
      </w:tblGrid>
      <w:tr w:rsidR="00DF6047" w:rsidRPr="00B22E4C" w14:paraId="611F52C0" w14:textId="77777777" w:rsidTr="00434CE8">
        <w:trPr>
          <w:trHeight w:val="231"/>
        </w:trPr>
        <w:tc>
          <w:tcPr>
            <w:tcW w:w="1530" w:type="dxa"/>
            <w:shd w:val="clear" w:color="auto" w:fill="D9D9D9" w:themeFill="background1" w:themeFillShade="D9"/>
          </w:tcPr>
          <w:p w14:paraId="6C66C253" w14:textId="77777777" w:rsidR="00200B80" w:rsidRPr="00B22E4C" w:rsidRDefault="00200B80" w:rsidP="003D1AE1">
            <w:pPr>
              <w:jc w:val="center"/>
              <w:rPr>
                <w:rFonts w:asciiTheme="minorHAnsi" w:hAnsiTheme="minorHAnsi" w:cs="Tahoma"/>
                <w:b/>
                <w:color w:val="FF0000"/>
                <w:sz w:val="20"/>
                <w:szCs w:val="20"/>
              </w:rPr>
            </w:pPr>
          </w:p>
        </w:tc>
        <w:tc>
          <w:tcPr>
            <w:tcW w:w="4590" w:type="dxa"/>
            <w:shd w:val="clear" w:color="auto" w:fill="F2F2F2" w:themeFill="background1" w:themeFillShade="F2"/>
          </w:tcPr>
          <w:p w14:paraId="3D39E110" w14:textId="77777777" w:rsidR="00200B80" w:rsidRPr="00B22E4C" w:rsidRDefault="0005068F" w:rsidP="003D1AE1">
            <w:pPr>
              <w:jc w:val="center"/>
              <w:rPr>
                <w:rFonts w:asciiTheme="minorHAnsi" w:hAnsiTheme="minorHAnsi" w:cs="Tahoma"/>
                <w:b/>
                <w:color w:val="000000" w:themeColor="text1"/>
                <w:sz w:val="20"/>
                <w:szCs w:val="20"/>
              </w:rPr>
            </w:pPr>
            <w:r w:rsidRPr="00B22E4C">
              <w:rPr>
                <w:rFonts w:asciiTheme="minorHAnsi" w:hAnsiTheme="minorHAnsi" w:cs="Tahoma"/>
                <w:b/>
                <w:color w:val="000000" w:themeColor="text1"/>
                <w:sz w:val="20"/>
                <w:szCs w:val="20"/>
              </w:rPr>
              <w:t>CAPSTONE-1 Phase 2 Trial</w:t>
            </w:r>
          </w:p>
        </w:tc>
        <w:tc>
          <w:tcPr>
            <w:tcW w:w="5400" w:type="dxa"/>
            <w:shd w:val="clear" w:color="auto" w:fill="F2F2F2" w:themeFill="background1" w:themeFillShade="F2"/>
          </w:tcPr>
          <w:p w14:paraId="707C06D7" w14:textId="77777777" w:rsidR="00200B80" w:rsidRPr="00B22E4C" w:rsidRDefault="0005068F" w:rsidP="003D1AE1">
            <w:pPr>
              <w:jc w:val="center"/>
              <w:rPr>
                <w:rFonts w:asciiTheme="minorHAnsi" w:hAnsiTheme="minorHAnsi" w:cs="Tahoma"/>
                <w:b/>
                <w:color w:val="000000" w:themeColor="text1"/>
                <w:sz w:val="20"/>
                <w:szCs w:val="20"/>
              </w:rPr>
            </w:pPr>
            <w:r w:rsidRPr="00B22E4C">
              <w:rPr>
                <w:rFonts w:asciiTheme="minorHAnsi" w:hAnsiTheme="minorHAnsi" w:cs="Tahoma"/>
                <w:b/>
                <w:color w:val="000000" w:themeColor="text1"/>
                <w:sz w:val="20"/>
                <w:szCs w:val="20"/>
              </w:rPr>
              <w:t>CAPSTONE-1 Phase 3 Trial</w:t>
            </w:r>
          </w:p>
        </w:tc>
      </w:tr>
      <w:tr w:rsidR="00DF6047" w:rsidRPr="00B22E4C" w14:paraId="5AB3D375" w14:textId="77777777" w:rsidTr="00434CE8">
        <w:trPr>
          <w:trHeight w:val="431"/>
        </w:trPr>
        <w:tc>
          <w:tcPr>
            <w:tcW w:w="1530" w:type="dxa"/>
            <w:shd w:val="clear" w:color="auto" w:fill="D9D9D9" w:themeFill="background1" w:themeFillShade="D9"/>
          </w:tcPr>
          <w:p w14:paraId="09B67847" w14:textId="77777777" w:rsidR="00200B80" w:rsidRPr="00B22E4C" w:rsidRDefault="00200B80" w:rsidP="003D1AE1">
            <w:pPr>
              <w:jc w:val="center"/>
              <w:rPr>
                <w:rFonts w:asciiTheme="minorHAnsi" w:hAnsiTheme="minorHAnsi" w:cs="Tahoma"/>
                <w:b/>
                <w:color w:val="000000" w:themeColor="text1"/>
                <w:sz w:val="20"/>
                <w:szCs w:val="20"/>
              </w:rPr>
            </w:pPr>
            <w:r w:rsidRPr="00B22E4C">
              <w:rPr>
                <w:rFonts w:asciiTheme="minorHAnsi" w:hAnsiTheme="minorHAnsi" w:cs="Tahoma"/>
                <w:b/>
                <w:color w:val="000000" w:themeColor="text1"/>
                <w:sz w:val="20"/>
                <w:szCs w:val="20"/>
              </w:rPr>
              <w:t>Design</w:t>
            </w:r>
          </w:p>
        </w:tc>
        <w:tc>
          <w:tcPr>
            <w:tcW w:w="4590" w:type="dxa"/>
            <w:vAlign w:val="center"/>
          </w:tcPr>
          <w:p w14:paraId="3830FE2E" w14:textId="77777777" w:rsidR="00200B80" w:rsidRPr="00B22E4C" w:rsidRDefault="00200B80" w:rsidP="003D1AE1">
            <w:pPr>
              <w:jc w:val="center"/>
              <w:rPr>
                <w:rFonts w:asciiTheme="minorHAnsi" w:hAnsiTheme="minorHAnsi" w:cs="Tahoma"/>
                <w:color w:val="000000" w:themeColor="text1"/>
                <w:sz w:val="20"/>
                <w:szCs w:val="20"/>
              </w:rPr>
            </w:pPr>
            <w:r w:rsidRPr="00B22E4C">
              <w:rPr>
                <w:rFonts w:asciiTheme="minorHAnsi" w:hAnsiTheme="minorHAnsi" w:cs="Tahoma"/>
                <w:color w:val="000000" w:themeColor="text1"/>
                <w:sz w:val="20"/>
                <w:szCs w:val="20"/>
              </w:rPr>
              <w:t>Phase 2, double-blind, placebo-controlled, dose-ranging,</w:t>
            </w:r>
          </w:p>
          <w:p w14:paraId="4A940201" w14:textId="77777777" w:rsidR="00200B80" w:rsidRPr="00B22E4C" w:rsidRDefault="00200B80" w:rsidP="003D1AE1">
            <w:pPr>
              <w:jc w:val="center"/>
              <w:rPr>
                <w:rFonts w:asciiTheme="minorHAnsi" w:hAnsiTheme="minorHAnsi" w:cs="Tahoma"/>
                <w:color w:val="000000" w:themeColor="text1"/>
                <w:sz w:val="20"/>
                <w:szCs w:val="20"/>
              </w:rPr>
            </w:pPr>
            <w:r w:rsidRPr="00B22E4C">
              <w:rPr>
                <w:rFonts w:asciiTheme="minorHAnsi" w:hAnsiTheme="minorHAnsi" w:cs="Tahoma"/>
                <w:color w:val="000000" w:themeColor="text1"/>
                <w:sz w:val="20"/>
                <w:szCs w:val="20"/>
              </w:rPr>
              <w:t>randomized trial</w:t>
            </w:r>
          </w:p>
        </w:tc>
        <w:tc>
          <w:tcPr>
            <w:tcW w:w="5400" w:type="dxa"/>
            <w:vAlign w:val="center"/>
          </w:tcPr>
          <w:p w14:paraId="2B1DAB4B" w14:textId="77777777" w:rsidR="00200B80" w:rsidRPr="00B22E4C" w:rsidRDefault="00200B80" w:rsidP="003D1AE1">
            <w:pPr>
              <w:jc w:val="center"/>
              <w:rPr>
                <w:rFonts w:asciiTheme="minorHAnsi" w:hAnsiTheme="minorHAnsi" w:cs="Tahoma"/>
                <w:color w:val="000000" w:themeColor="text1"/>
                <w:sz w:val="20"/>
              </w:rPr>
            </w:pPr>
            <w:r w:rsidRPr="00B22E4C">
              <w:rPr>
                <w:rFonts w:asciiTheme="minorHAnsi" w:hAnsiTheme="minorHAnsi" w:cs="Tahoma"/>
                <w:color w:val="000000" w:themeColor="text1"/>
                <w:sz w:val="20"/>
              </w:rPr>
              <w:t>Phase 3, double-blind, placebo- and oseltamivir-controlled,</w:t>
            </w:r>
          </w:p>
          <w:p w14:paraId="2C41284D" w14:textId="77777777" w:rsidR="00200B80" w:rsidRPr="00B22E4C" w:rsidRDefault="00200B80" w:rsidP="003D1AE1">
            <w:pPr>
              <w:jc w:val="center"/>
              <w:rPr>
                <w:rFonts w:asciiTheme="minorHAnsi" w:hAnsiTheme="minorHAnsi" w:cs="Tahoma"/>
                <w:color w:val="000000" w:themeColor="text1"/>
                <w:sz w:val="20"/>
              </w:rPr>
            </w:pPr>
            <w:r w:rsidRPr="00B22E4C">
              <w:rPr>
                <w:rFonts w:asciiTheme="minorHAnsi" w:hAnsiTheme="minorHAnsi" w:cs="Tahoma"/>
                <w:color w:val="000000" w:themeColor="text1"/>
                <w:sz w:val="20"/>
              </w:rPr>
              <w:t>randomized trial</w:t>
            </w:r>
          </w:p>
        </w:tc>
      </w:tr>
      <w:tr w:rsidR="00DF6047" w:rsidRPr="00B22E4C" w14:paraId="08E71897" w14:textId="77777777" w:rsidTr="00434CE8">
        <w:trPr>
          <w:trHeight w:val="260"/>
        </w:trPr>
        <w:tc>
          <w:tcPr>
            <w:tcW w:w="1530" w:type="dxa"/>
            <w:shd w:val="clear" w:color="auto" w:fill="D9D9D9" w:themeFill="background1" w:themeFillShade="D9"/>
          </w:tcPr>
          <w:p w14:paraId="3FC42644" w14:textId="77777777" w:rsidR="00200B80" w:rsidRPr="00B22E4C" w:rsidRDefault="00200B80" w:rsidP="003D1AE1">
            <w:pPr>
              <w:jc w:val="center"/>
              <w:rPr>
                <w:rFonts w:asciiTheme="minorHAnsi" w:hAnsiTheme="minorHAnsi" w:cs="Tahoma"/>
                <w:b/>
                <w:color w:val="000000" w:themeColor="text1"/>
                <w:sz w:val="20"/>
                <w:szCs w:val="20"/>
              </w:rPr>
            </w:pPr>
            <w:r w:rsidRPr="00B22E4C">
              <w:rPr>
                <w:rFonts w:asciiTheme="minorHAnsi" w:hAnsiTheme="minorHAnsi" w:cs="Tahoma"/>
                <w:b/>
                <w:color w:val="000000" w:themeColor="text1"/>
                <w:sz w:val="20"/>
                <w:szCs w:val="20"/>
              </w:rPr>
              <w:t>Drug and Comparator</w:t>
            </w:r>
          </w:p>
        </w:tc>
        <w:tc>
          <w:tcPr>
            <w:tcW w:w="4590" w:type="dxa"/>
            <w:vAlign w:val="center"/>
          </w:tcPr>
          <w:p w14:paraId="62FCD4B8" w14:textId="77777777" w:rsidR="00200B80" w:rsidRPr="00B22E4C" w:rsidRDefault="00200B80" w:rsidP="003D1AE1">
            <w:pPr>
              <w:jc w:val="center"/>
              <w:rPr>
                <w:rFonts w:asciiTheme="minorHAnsi" w:hAnsiTheme="minorHAnsi" w:cs="Tahoma"/>
                <w:color w:val="000000" w:themeColor="text1"/>
                <w:sz w:val="20"/>
                <w:szCs w:val="20"/>
              </w:rPr>
            </w:pPr>
            <w:r w:rsidRPr="00B22E4C">
              <w:rPr>
                <w:rFonts w:asciiTheme="minorHAnsi" w:hAnsiTheme="minorHAnsi" w:cs="Tahoma"/>
                <w:color w:val="000000" w:themeColor="text1"/>
                <w:sz w:val="20"/>
                <w:szCs w:val="20"/>
              </w:rPr>
              <w:t>Baloxavir vs. Placebo</w:t>
            </w:r>
          </w:p>
        </w:tc>
        <w:tc>
          <w:tcPr>
            <w:tcW w:w="5400" w:type="dxa"/>
            <w:vAlign w:val="center"/>
          </w:tcPr>
          <w:p w14:paraId="187984C4" w14:textId="77777777" w:rsidR="00200B80" w:rsidRPr="00B22E4C" w:rsidRDefault="00200B80" w:rsidP="003D1AE1">
            <w:pPr>
              <w:jc w:val="center"/>
              <w:rPr>
                <w:rFonts w:asciiTheme="minorHAnsi" w:hAnsiTheme="minorHAnsi" w:cs="Tahoma"/>
                <w:color w:val="000000" w:themeColor="text1"/>
                <w:sz w:val="20"/>
              </w:rPr>
            </w:pPr>
            <w:r w:rsidRPr="00B22E4C">
              <w:rPr>
                <w:rFonts w:asciiTheme="minorHAnsi" w:hAnsiTheme="minorHAnsi" w:cs="Tahoma"/>
                <w:color w:val="000000" w:themeColor="text1"/>
                <w:sz w:val="20"/>
              </w:rPr>
              <w:t>Baloxavir vs. Oseltamivir vs. Placebo</w:t>
            </w:r>
          </w:p>
        </w:tc>
      </w:tr>
      <w:tr w:rsidR="00DF6047" w:rsidRPr="00B22E4C" w14:paraId="09178113" w14:textId="77777777" w:rsidTr="00434CE8">
        <w:trPr>
          <w:trHeight w:val="4013"/>
        </w:trPr>
        <w:tc>
          <w:tcPr>
            <w:tcW w:w="1530" w:type="dxa"/>
            <w:shd w:val="clear" w:color="auto" w:fill="D9D9D9" w:themeFill="background1" w:themeFillShade="D9"/>
          </w:tcPr>
          <w:p w14:paraId="24A713FA" w14:textId="77777777" w:rsidR="00200B80" w:rsidRPr="00B22E4C" w:rsidRDefault="00200B80" w:rsidP="003D1AE1">
            <w:pPr>
              <w:jc w:val="center"/>
              <w:rPr>
                <w:rFonts w:asciiTheme="minorHAnsi" w:hAnsiTheme="minorHAnsi" w:cs="Tahoma"/>
                <w:b/>
                <w:color w:val="000000" w:themeColor="text1"/>
                <w:sz w:val="20"/>
                <w:szCs w:val="20"/>
              </w:rPr>
            </w:pPr>
            <w:r w:rsidRPr="00B22E4C">
              <w:rPr>
                <w:rFonts w:asciiTheme="minorHAnsi" w:hAnsiTheme="minorHAnsi" w:cs="Tahoma"/>
                <w:b/>
                <w:color w:val="000000" w:themeColor="text1"/>
                <w:sz w:val="20"/>
                <w:szCs w:val="20"/>
              </w:rPr>
              <w:t>Population</w:t>
            </w:r>
          </w:p>
        </w:tc>
        <w:tc>
          <w:tcPr>
            <w:tcW w:w="4590" w:type="dxa"/>
          </w:tcPr>
          <w:p w14:paraId="38B61D5C" w14:textId="77777777" w:rsidR="00200B80" w:rsidRPr="00B22E4C" w:rsidRDefault="00200B80" w:rsidP="00200B80">
            <w:pPr>
              <w:pStyle w:val="ListParagraph"/>
              <w:numPr>
                <w:ilvl w:val="0"/>
                <w:numId w:val="15"/>
              </w:numPr>
              <w:spacing w:after="0" w:line="240" w:lineRule="auto"/>
              <w:rPr>
                <w:rFonts w:cs="Tahoma"/>
                <w:color w:val="000000" w:themeColor="text1"/>
                <w:sz w:val="20"/>
                <w:szCs w:val="20"/>
              </w:rPr>
            </w:pPr>
            <w:r w:rsidRPr="00B22E4C">
              <w:rPr>
                <w:rFonts w:cs="Tahoma"/>
                <w:color w:val="000000" w:themeColor="text1"/>
                <w:sz w:val="20"/>
                <w:szCs w:val="20"/>
              </w:rPr>
              <w:t>Treatment of acute uncomplicated influenza in otherwise healthy outpatients (Japanese adults 20-64 years of age)</w:t>
            </w:r>
          </w:p>
          <w:p w14:paraId="3D912D76" w14:textId="77777777" w:rsidR="0039553C" w:rsidRPr="00B22E4C" w:rsidRDefault="0039553C" w:rsidP="00200B80">
            <w:pPr>
              <w:pStyle w:val="ListParagraph"/>
              <w:numPr>
                <w:ilvl w:val="0"/>
                <w:numId w:val="15"/>
              </w:numPr>
              <w:spacing w:after="0" w:line="240" w:lineRule="auto"/>
              <w:rPr>
                <w:rFonts w:cs="Tahoma"/>
                <w:color w:val="000000" w:themeColor="text1"/>
                <w:sz w:val="20"/>
                <w:szCs w:val="20"/>
              </w:rPr>
            </w:pPr>
            <w:r w:rsidRPr="00B22E4C">
              <w:rPr>
                <w:rFonts w:cs="Tahoma"/>
                <w:color w:val="000000" w:themeColor="text1"/>
                <w:sz w:val="20"/>
                <w:szCs w:val="20"/>
              </w:rPr>
              <w:t>Intervention:</w:t>
            </w:r>
          </w:p>
          <w:p w14:paraId="0589D5F2" w14:textId="77777777" w:rsidR="00200B80" w:rsidRPr="00B22E4C" w:rsidRDefault="00200B80" w:rsidP="0039553C">
            <w:pPr>
              <w:pStyle w:val="ListParagraph"/>
              <w:numPr>
                <w:ilvl w:val="0"/>
                <w:numId w:val="15"/>
              </w:numPr>
              <w:spacing w:after="0" w:line="240" w:lineRule="auto"/>
              <w:ind w:left="666"/>
              <w:rPr>
                <w:rFonts w:cs="Tahoma"/>
                <w:color w:val="000000" w:themeColor="text1"/>
                <w:sz w:val="20"/>
                <w:szCs w:val="20"/>
              </w:rPr>
            </w:pPr>
            <w:r w:rsidRPr="00B22E4C">
              <w:rPr>
                <w:rFonts w:cs="Tahoma"/>
                <w:color w:val="000000" w:themeColor="text1"/>
                <w:sz w:val="20"/>
                <w:szCs w:val="20"/>
              </w:rPr>
              <w:t>Baloxavir</w:t>
            </w:r>
            <w:r w:rsidR="00917FB1" w:rsidRPr="00B22E4C">
              <w:rPr>
                <w:rFonts w:cs="Tahoma"/>
                <w:color w:val="000000" w:themeColor="text1"/>
                <w:sz w:val="20"/>
                <w:szCs w:val="20"/>
              </w:rPr>
              <w:t xml:space="preserve"> (n=400)</w:t>
            </w:r>
          </w:p>
          <w:p w14:paraId="13E162BC" w14:textId="77777777" w:rsidR="00200B80" w:rsidRPr="00B22E4C" w:rsidRDefault="00200B80" w:rsidP="0039553C">
            <w:pPr>
              <w:pStyle w:val="ListParagraph"/>
              <w:numPr>
                <w:ilvl w:val="0"/>
                <w:numId w:val="17"/>
              </w:numPr>
              <w:spacing w:after="0" w:line="240" w:lineRule="auto"/>
              <w:ind w:left="972"/>
              <w:rPr>
                <w:rFonts w:cs="Tahoma"/>
                <w:color w:val="000000" w:themeColor="text1"/>
                <w:sz w:val="20"/>
                <w:szCs w:val="20"/>
              </w:rPr>
            </w:pPr>
            <w:r w:rsidRPr="00B22E4C">
              <w:rPr>
                <w:rFonts w:cs="Tahoma"/>
                <w:color w:val="000000" w:themeColor="text1"/>
                <w:sz w:val="20"/>
                <w:szCs w:val="20"/>
              </w:rPr>
              <w:t>10 mg (n=100)</w:t>
            </w:r>
          </w:p>
          <w:p w14:paraId="48957427" w14:textId="77777777" w:rsidR="00200B80" w:rsidRPr="00B22E4C" w:rsidRDefault="00200B80" w:rsidP="0039553C">
            <w:pPr>
              <w:pStyle w:val="ListParagraph"/>
              <w:numPr>
                <w:ilvl w:val="0"/>
                <w:numId w:val="17"/>
              </w:numPr>
              <w:spacing w:after="0" w:line="240" w:lineRule="auto"/>
              <w:ind w:left="972"/>
              <w:rPr>
                <w:rFonts w:cs="Tahoma"/>
                <w:color w:val="000000" w:themeColor="text1"/>
                <w:sz w:val="20"/>
                <w:szCs w:val="20"/>
              </w:rPr>
            </w:pPr>
            <w:r w:rsidRPr="00B22E4C">
              <w:rPr>
                <w:rFonts w:cs="Tahoma"/>
                <w:color w:val="000000" w:themeColor="text1"/>
                <w:sz w:val="20"/>
                <w:szCs w:val="20"/>
              </w:rPr>
              <w:t>20 mg (n=100)</w:t>
            </w:r>
          </w:p>
          <w:p w14:paraId="2895DC4D" w14:textId="77777777" w:rsidR="00200B80" w:rsidRPr="00B22E4C" w:rsidRDefault="00200B80" w:rsidP="0039553C">
            <w:pPr>
              <w:pStyle w:val="ListParagraph"/>
              <w:numPr>
                <w:ilvl w:val="0"/>
                <w:numId w:val="17"/>
              </w:numPr>
              <w:spacing w:after="0" w:line="240" w:lineRule="auto"/>
              <w:ind w:left="972"/>
              <w:rPr>
                <w:rFonts w:cs="Tahoma"/>
                <w:color w:val="000000" w:themeColor="text1"/>
                <w:sz w:val="20"/>
                <w:szCs w:val="20"/>
              </w:rPr>
            </w:pPr>
            <w:r w:rsidRPr="00B22E4C">
              <w:rPr>
                <w:rFonts w:cs="Tahoma"/>
                <w:color w:val="000000" w:themeColor="text1"/>
                <w:sz w:val="20"/>
                <w:szCs w:val="20"/>
              </w:rPr>
              <w:t>40 mg (n=100)</w:t>
            </w:r>
          </w:p>
          <w:p w14:paraId="1831518A" w14:textId="77777777" w:rsidR="00200B80" w:rsidRPr="00B22E4C" w:rsidRDefault="00200B80" w:rsidP="0039553C">
            <w:pPr>
              <w:pStyle w:val="ListParagraph"/>
              <w:numPr>
                <w:ilvl w:val="0"/>
                <w:numId w:val="15"/>
              </w:numPr>
              <w:spacing w:after="0" w:line="240" w:lineRule="auto"/>
              <w:ind w:left="666"/>
              <w:rPr>
                <w:rFonts w:cs="Tahoma"/>
                <w:color w:val="000000" w:themeColor="text1"/>
                <w:sz w:val="20"/>
                <w:szCs w:val="20"/>
              </w:rPr>
            </w:pPr>
            <w:r w:rsidRPr="00B22E4C">
              <w:rPr>
                <w:rFonts w:cs="Tahoma"/>
                <w:color w:val="000000" w:themeColor="text1"/>
                <w:sz w:val="20"/>
                <w:szCs w:val="20"/>
              </w:rPr>
              <w:t>Placebo (n=100)</w:t>
            </w:r>
          </w:p>
          <w:p w14:paraId="3711CD43" w14:textId="77777777" w:rsidR="00200B80" w:rsidRPr="00B22E4C" w:rsidRDefault="00200B80" w:rsidP="00200B80">
            <w:pPr>
              <w:pStyle w:val="ListParagraph"/>
              <w:numPr>
                <w:ilvl w:val="0"/>
                <w:numId w:val="15"/>
              </w:numPr>
              <w:spacing w:after="0" w:line="240" w:lineRule="auto"/>
              <w:rPr>
                <w:rFonts w:cs="Tahoma"/>
                <w:color w:val="000000" w:themeColor="text1"/>
                <w:sz w:val="20"/>
                <w:szCs w:val="20"/>
              </w:rPr>
            </w:pPr>
            <w:r w:rsidRPr="00B22E4C">
              <w:rPr>
                <w:rFonts w:cs="Tahoma"/>
                <w:color w:val="000000" w:themeColor="text1"/>
                <w:sz w:val="20"/>
                <w:szCs w:val="20"/>
              </w:rPr>
              <w:t>Total treatment duration: single dose</w:t>
            </w:r>
          </w:p>
          <w:p w14:paraId="40FC4AAC" w14:textId="77777777" w:rsidR="00200B80" w:rsidRPr="00B22E4C" w:rsidRDefault="00200B80" w:rsidP="00200B80">
            <w:pPr>
              <w:pStyle w:val="ListParagraph"/>
              <w:numPr>
                <w:ilvl w:val="0"/>
                <w:numId w:val="15"/>
              </w:numPr>
              <w:spacing w:after="0" w:line="240" w:lineRule="auto"/>
              <w:rPr>
                <w:rFonts w:cs="Tahoma"/>
                <w:color w:val="000000" w:themeColor="text1"/>
                <w:sz w:val="20"/>
                <w:szCs w:val="20"/>
              </w:rPr>
            </w:pPr>
            <w:r w:rsidRPr="00B22E4C">
              <w:rPr>
                <w:rFonts w:cs="Tahoma"/>
                <w:color w:val="000000" w:themeColor="text1"/>
                <w:sz w:val="20"/>
                <w:szCs w:val="20"/>
              </w:rPr>
              <w:t>Median age: 36-38 years</w:t>
            </w:r>
          </w:p>
          <w:p w14:paraId="29C97F54" w14:textId="77777777" w:rsidR="00200B80" w:rsidRPr="00B22E4C" w:rsidRDefault="00200B80" w:rsidP="00200B80">
            <w:pPr>
              <w:pStyle w:val="ListParagraph"/>
              <w:numPr>
                <w:ilvl w:val="0"/>
                <w:numId w:val="15"/>
              </w:numPr>
              <w:spacing w:after="0" w:line="240" w:lineRule="auto"/>
              <w:rPr>
                <w:rFonts w:cs="Tahoma"/>
                <w:color w:val="000000" w:themeColor="text1"/>
                <w:sz w:val="20"/>
                <w:szCs w:val="20"/>
              </w:rPr>
            </w:pPr>
            <w:r w:rsidRPr="00B22E4C">
              <w:rPr>
                <w:rFonts w:cs="Tahoma"/>
                <w:color w:val="000000" w:themeColor="text1"/>
                <w:sz w:val="20"/>
                <w:szCs w:val="20"/>
              </w:rPr>
              <w:t>Male gender: 58-68%</w:t>
            </w:r>
          </w:p>
          <w:p w14:paraId="32268100" w14:textId="77777777" w:rsidR="00200B80" w:rsidRPr="00B22E4C" w:rsidRDefault="00200B80" w:rsidP="00200B80">
            <w:pPr>
              <w:pStyle w:val="ListParagraph"/>
              <w:numPr>
                <w:ilvl w:val="0"/>
                <w:numId w:val="15"/>
              </w:numPr>
              <w:spacing w:after="0" w:line="240" w:lineRule="auto"/>
              <w:rPr>
                <w:rFonts w:cs="Tahoma"/>
                <w:color w:val="000000" w:themeColor="text1"/>
                <w:sz w:val="20"/>
                <w:szCs w:val="20"/>
              </w:rPr>
            </w:pPr>
            <w:r w:rsidRPr="00B22E4C">
              <w:rPr>
                <w:rFonts w:cs="Tahoma"/>
                <w:color w:val="000000" w:themeColor="text1"/>
                <w:sz w:val="20"/>
                <w:szCs w:val="20"/>
              </w:rPr>
              <w:t>Race: Asian 99-100%</w:t>
            </w:r>
          </w:p>
          <w:p w14:paraId="0A2F9B6B" w14:textId="77777777" w:rsidR="00200B80" w:rsidRPr="00B22E4C" w:rsidRDefault="00200B80" w:rsidP="00200B80">
            <w:pPr>
              <w:pStyle w:val="ListParagraph"/>
              <w:numPr>
                <w:ilvl w:val="0"/>
                <w:numId w:val="15"/>
              </w:numPr>
              <w:spacing w:after="0" w:line="240" w:lineRule="auto"/>
              <w:rPr>
                <w:rFonts w:cs="Tahoma"/>
                <w:color w:val="000000" w:themeColor="text1"/>
                <w:sz w:val="20"/>
                <w:szCs w:val="20"/>
              </w:rPr>
            </w:pPr>
            <w:r w:rsidRPr="00B22E4C">
              <w:rPr>
                <w:rFonts w:cs="Tahoma"/>
                <w:color w:val="000000" w:themeColor="text1"/>
                <w:sz w:val="20"/>
                <w:szCs w:val="20"/>
              </w:rPr>
              <w:t xml:space="preserve">Inclusion criteria: fever (temperature ≥38.0°C), ≥1 systemic symptom and ≥1 respiratory symptom of at least moderate severity, symptom duration </w:t>
            </w:r>
            <w:r w:rsidRPr="00B22E4C">
              <w:rPr>
                <w:rFonts w:cs="Tahoma"/>
                <w:color w:val="000000" w:themeColor="text1"/>
                <w:sz w:val="20"/>
                <w:szCs w:val="20"/>
                <w:u w:val="single"/>
              </w:rPr>
              <w:t>&lt;</w:t>
            </w:r>
            <w:r w:rsidRPr="00B22E4C">
              <w:rPr>
                <w:rFonts w:cs="Tahoma"/>
                <w:color w:val="000000" w:themeColor="text1"/>
                <w:sz w:val="20"/>
                <w:szCs w:val="20"/>
              </w:rPr>
              <w:t>48 hours, and a positive rapid antigen test</w:t>
            </w:r>
          </w:p>
        </w:tc>
        <w:tc>
          <w:tcPr>
            <w:tcW w:w="5400" w:type="dxa"/>
          </w:tcPr>
          <w:p w14:paraId="5F6A171C" w14:textId="77777777" w:rsidR="00200B80" w:rsidRPr="00B22E4C" w:rsidRDefault="00200B80" w:rsidP="00200B80">
            <w:pPr>
              <w:pStyle w:val="ListParagraph"/>
              <w:numPr>
                <w:ilvl w:val="0"/>
                <w:numId w:val="15"/>
              </w:numPr>
              <w:spacing w:after="0" w:line="240" w:lineRule="auto"/>
              <w:rPr>
                <w:rFonts w:cs="Tahoma"/>
                <w:color w:val="000000" w:themeColor="text1"/>
                <w:sz w:val="20"/>
                <w:szCs w:val="20"/>
              </w:rPr>
            </w:pPr>
            <w:r w:rsidRPr="00B22E4C">
              <w:rPr>
                <w:rFonts w:cs="Tahoma"/>
                <w:color w:val="000000" w:themeColor="text1"/>
                <w:sz w:val="20"/>
                <w:szCs w:val="20"/>
              </w:rPr>
              <w:t>Treatment of acute uncomplicated influenza in otherwise healthy outpatients (patients in the United States and Japan 12-64 years of age)</w:t>
            </w:r>
          </w:p>
          <w:p w14:paraId="040572B4" w14:textId="77777777" w:rsidR="0039553C" w:rsidRPr="00B22E4C" w:rsidRDefault="0039553C" w:rsidP="00200B80">
            <w:pPr>
              <w:pStyle w:val="ListParagraph"/>
              <w:numPr>
                <w:ilvl w:val="0"/>
                <w:numId w:val="15"/>
              </w:numPr>
              <w:spacing w:after="0" w:line="240" w:lineRule="auto"/>
              <w:rPr>
                <w:rFonts w:cs="Tahoma"/>
                <w:color w:val="000000" w:themeColor="text1"/>
                <w:sz w:val="20"/>
                <w:szCs w:val="20"/>
              </w:rPr>
            </w:pPr>
            <w:r w:rsidRPr="00B22E4C">
              <w:rPr>
                <w:rFonts w:cs="Tahoma"/>
                <w:color w:val="000000" w:themeColor="text1"/>
                <w:sz w:val="20"/>
                <w:szCs w:val="20"/>
              </w:rPr>
              <w:t xml:space="preserve">Intervention: </w:t>
            </w:r>
          </w:p>
          <w:p w14:paraId="600E1B96" w14:textId="77777777" w:rsidR="00200B80" w:rsidRPr="00B22E4C" w:rsidRDefault="00200B80" w:rsidP="0039553C">
            <w:pPr>
              <w:pStyle w:val="ListParagraph"/>
              <w:numPr>
                <w:ilvl w:val="0"/>
                <w:numId w:val="15"/>
              </w:numPr>
              <w:spacing w:after="0" w:line="240" w:lineRule="auto"/>
              <w:ind w:left="720"/>
              <w:rPr>
                <w:rFonts w:cs="Tahoma"/>
                <w:color w:val="000000" w:themeColor="text1"/>
                <w:sz w:val="20"/>
                <w:szCs w:val="20"/>
              </w:rPr>
            </w:pPr>
            <w:r w:rsidRPr="00B22E4C">
              <w:rPr>
                <w:rFonts w:cs="Tahoma"/>
                <w:color w:val="000000" w:themeColor="text1"/>
                <w:sz w:val="20"/>
              </w:rPr>
              <w:t>Baloxavir (n=456)</w:t>
            </w:r>
          </w:p>
          <w:p w14:paraId="18452C2D" w14:textId="77777777" w:rsidR="00200B80" w:rsidRPr="00B22E4C" w:rsidRDefault="00200B80" w:rsidP="0039553C">
            <w:pPr>
              <w:pStyle w:val="ListParagraph"/>
              <w:numPr>
                <w:ilvl w:val="0"/>
                <w:numId w:val="18"/>
              </w:numPr>
              <w:spacing w:after="0" w:line="240" w:lineRule="auto"/>
              <w:ind w:left="1080"/>
              <w:rPr>
                <w:rFonts w:cs="Tahoma"/>
                <w:color w:val="000000" w:themeColor="text1"/>
                <w:sz w:val="20"/>
                <w:szCs w:val="20"/>
              </w:rPr>
            </w:pPr>
            <w:r w:rsidRPr="00B22E4C">
              <w:rPr>
                <w:rFonts w:cs="Tahoma"/>
                <w:color w:val="000000" w:themeColor="text1"/>
                <w:sz w:val="20"/>
                <w:szCs w:val="20"/>
              </w:rPr>
              <w:t>40 mg for patients weighing &lt;80 kg</w:t>
            </w:r>
          </w:p>
          <w:p w14:paraId="30BC764B" w14:textId="77777777" w:rsidR="00200B80" w:rsidRPr="00B22E4C" w:rsidRDefault="00200B80" w:rsidP="0039553C">
            <w:pPr>
              <w:pStyle w:val="ListParagraph"/>
              <w:numPr>
                <w:ilvl w:val="0"/>
                <w:numId w:val="18"/>
              </w:numPr>
              <w:spacing w:after="0" w:line="240" w:lineRule="auto"/>
              <w:ind w:left="1080"/>
              <w:rPr>
                <w:rFonts w:cs="Tahoma"/>
                <w:color w:val="000000" w:themeColor="text1"/>
                <w:sz w:val="20"/>
                <w:szCs w:val="20"/>
              </w:rPr>
            </w:pPr>
            <w:r w:rsidRPr="00B22E4C">
              <w:rPr>
                <w:rFonts w:cs="Tahoma"/>
                <w:color w:val="000000" w:themeColor="text1"/>
                <w:sz w:val="20"/>
                <w:szCs w:val="20"/>
              </w:rPr>
              <w:t>80 mg for patients weighing ≥80 kg</w:t>
            </w:r>
          </w:p>
          <w:p w14:paraId="4912DAB6" w14:textId="77777777" w:rsidR="00200B80" w:rsidRPr="00B22E4C" w:rsidRDefault="00200B80" w:rsidP="0039553C">
            <w:pPr>
              <w:pStyle w:val="ListParagraph"/>
              <w:numPr>
                <w:ilvl w:val="0"/>
                <w:numId w:val="15"/>
              </w:numPr>
              <w:spacing w:after="0" w:line="240" w:lineRule="auto"/>
              <w:ind w:left="720"/>
              <w:rPr>
                <w:rFonts w:cs="Tahoma"/>
                <w:color w:val="000000" w:themeColor="text1"/>
                <w:sz w:val="20"/>
                <w:szCs w:val="20"/>
              </w:rPr>
            </w:pPr>
            <w:r w:rsidRPr="00B22E4C">
              <w:rPr>
                <w:rFonts w:cs="Tahoma"/>
                <w:color w:val="000000" w:themeColor="text1"/>
                <w:sz w:val="20"/>
                <w:szCs w:val="20"/>
              </w:rPr>
              <w:t xml:space="preserve">Oseltamivir 75 mg </w:t>
            </w:r>
            <w:r w:rsidR="00917FB1" w:rsidRPr="00B22E4C">
              <w:rPr>
                <w:rFonts w:cs="Tahoma"/>
                <w:color w:val="000000" w:themeColor="text1"/>
                <w:sz w:val="20"/>
                <w:szCs w:val="20"/>
              </w:rPr>
              <w:t xml:space="preserve">PO </w:t>
            </w:r>
            <w:r w:rsidRPr="00B22E4C">
              <w:rPr>
                <w:rFonts w:cs="Tahoma"/>
                <w:color w:val="000000" w:themeColor="text1"/>
                <w:sz w:val="20"/>
                <w:szCs w:val="20"/>
              </w:rPr>
              <w:t>BID (n=377)</w:t>
            </w:r>
          </w:p>
          <w:p w14:paraId="735D4C2F" w14:textId="77777777" w:rsidR="00200B80" w:rsidRPr="00B22E4C" w:rsidRDefault="00200B80" w:rsidP="0039553C">
            <w:pPr>
              <w:pStyle w:val="ListParagraph"/>
              <w:numPr>
                <w:ilvl w:val="0"/>
                <w:numId w:val="14"/>
              </w:numPr>
              <w:spacing w:after="0" w:line="240" w:lineRule="auto"/>
              <w:ind w:left="720"/>
              <w:rPr>
                <w:rFonts w:cs="Tahoma"/>
                <w:color w:val="000000" w:themeColor="text1"/>
                <w:sz w:val="20"/>
              </w:rPr>
            </w:pPr>
            <w:r w:rsidRPr="00B22E4C">
              <w:rPr>
                <w:rFonts w:cs="Tahoma"/>
                <w:color w:val="000000" w:themeColor="text1"/>
                <w:sz w:val="20"/>
              </w:rPr>
              <w:t>Placebo (n=231)</w:t>
            </w:r>
          </w:p>
          <w:p w14:paraId="5D409FA2" w14:textId="77777777" w:rsidR="00200B80" w:rsidRPr="00B22E4C" w:rsidRDefault="00200B80" w:rsidP="00200B80">
            <w:pPr>
              <w:pStyle w:val="ListParagraph"/>
              <w:numPr>
                <w:ilvl w:val="0"/>
                <w:numId w:val="14"/>
              </w:numPr>
              <w:spacing w:after="0" w:line="240" w:lineRule="auto"/>
              <w:rPr>
                <w:rFonts w:cs="Tahoma"/>
                <w:color w:val="000000" w:themeColor="text1"/>
                <w:sz w:val="20"/>
              </w:rPr>
            </w:pPr>
            <w:r w:rsidRPr="00B22E4C">
              <w:rPr>
                <w:rFonts w:cs="Tahoma"/>
                <w:color w:val="000000" w:themeColor="text1"/>
                <w:sz w:val="20"/>
              </w:rPr>
              <w:t>Treatment duration: 5 days (baloxavir group received a single dose, followed by placebo)</w:t>
            </w:r>
          </w:p>
          <w:p w14:paraId="1338EDBC" w14:textId="77777777" w:rsidR="00200B80" w:rsidRPr="00B22E4C" w:rsidRDefault="00200B80" w:rsidP="00200B80">
            <w:pPr>
              <w:pStyle w:val="ListParagraph"/>
              <w:numPr>
                <w:ilvl w:val="0"/>
                <w:numId w:val="14"/>
              </w:numPr>
              <w:spacing w:after="0" w:line="240" w:lineRule="auto"/>
              <w:rPr>
                <w:rFonts w:cs="Tahoma"/>
                <w:color w:val="000000" w:themeColor="text1"/>
                <w:sz w:val="20"/>
              </w:rPr>
            </w:pPr>
            <w:r w:rsidRPr="00B22E4C">
              <w:rPr>
                <w:rFonts w:cs="Tahoma"/>
                <w:color w:val="000000" w:themeColor="text1"/>
                <w:sz w:val="20"/>
              </w:rPr>
              <w:t>Median age: 32-35 years</w:t>
            </w:r>
          </w:p>
          <w:p w14:paraId="0A04FDA6" w14:textId="77777777" w:rsidR="007815AA" w:rsidRPr="00B22E4C" w:rsidRDefault="007815AA" w:rsidP="00200B80">
            <w:pPr>
              <w:pStyle w:val="ListParagraph"/>
              <w:numPr>
                <w:ilvl w:val="0"/>
                <w:numId w:val="14"/>
              </w:numPr>
              <w:spacing w:after="0" w:line="240" w:lineRule="auto"/>
              <w:rPr>
                <w:rFonts w:cs="Tahoma"/>
                <w:color w:val="000000" w:themeColor="text1"/>
                <w:sz w:val="20"/>
              </w:rPr>
            </w:pPr>
            <w:r w:rsidRPr="00B22E4C">
              <w:rPr>
                <w:rFonts w:cs="Tahoma"/>
                <w:color w:val="000000" w:themeColor="text1"/>
                <w:sz w:val="20"/>
              </w:rPr>
              <w:t>Weight &lt; 80 kg: 81.2-81.4%</w:t>
            </w:r>
          </w:p>
          <w:p w14:paraId="7C836D31" w14:textId="77777777" w:rsidR="00200B80" w:rsidRPr="00B22E4C" w:rsidRDefault="00200B80" w:rsidP="00200B80">
            <w:pPr>
              <w:pStyle w:val="ListParagraph"/>
              <w:numPr>
                <w:ilvl w:val="0"/>
                <w:numId w:val="14"/>
              </w:numPr>
              <w:spacing w:after="0" w:line="240" w:lineRule="auto"/>
              <w:rPr>
                <w:rFonts w:cs="Tahoma"/>
                <w:color w:val="000000" w:themeColor="text1"/>
                <w:sz w:val="20"/>
              </w:rPr>
            </w:pPr>
            <w:r w:rsidRPr="00B22E4C">
              <w:rPr>
                <w:rFonts w:cs="Tahoma"/>
                <w:color w:val="000000" w:themeColor="text1"/>
                <w:sz w:val="20"/>
              </w:rPr>
              <w:t>Male gender: 50-58%</w:t>
            </w:r>
          </w:p>
          <w:p w14:paraId="5900F13A" w14:textId="77777777" w:rsidR="00200B80" w:rsidRPr="00B22E4C" w:rsidRDefault="00200B80" w:rsidP="00200B80">
            <w:pPr>
              <w:pStyle w:val="ListParagraph"/>
              <w:numPr>
                <w:ilvl w:val="0"/>
                <w:numId w:val="14"/>
              </w:numPr>
              <w:spacing w:after="0" w:line="240" w:lineRule="auto"/>
              <w:rPr>
                <w:rFonts w:cs="Tahoma"/>
                <w:color w:val="000000" w:themeColor="text1"/>
                <w:sz w:val="20"/>
              </w:rPr>
            </w:pPr>
            <w:r w:rsidRPr="00B22E4C">
              <w:rPr>
                <w:rFonts w:cs="Tahoma"/>
                <w:color w:val="000000" w:themeColor="text1"/>
                <w:sz w:val="20"/>
              </w:rPr>
              <w:t>Regions: Japan (75-81%), United States (19-25%)</w:t>
            </w:r>
          </w:p>
          <w:p w14:paraId="143324CD" w14:textId="77777777" w:rsidR="00200B80" w:rsidRPr="00B22E4C" w:rsidRDefault="00200B80" w:rsidP="00200B80">
            <w:pPr>
              <w:pStyle w:val="ListParagraph"/>
              <w:numPr>
                <w:ilvl w:val="0"/>
                <w:numId w:val="14"/>
              </w:numPr>
              <w:spacing w:after="0" w:line="240" w:lineRule="auto"/>
              <w:rPr>
                <w:rFonts w:cs="Tahoma"/>
                <w:color w:val="FF0000"/>
                <w:sz w:val="20"/>
              </w:rPr>
            </w:pPr>
            <w:r w:rsidRPr="00B22E4C">
              <w:rPr>
                <w:rFonts w:cs="Tahoma"/>
                <w:color w:val="000000" w:themeColor="text1"/>
                <w:sz w:val="20"/>
                <w:szCs w:val="20"/>
              </w:rPr>
              <w:t xml:space="preserve">Inclusion criteria: fever (temperature ≥38.0°C), ≥1 systemic symptom and ≥1 respiratory symptom of at least moderate severity, symptom duration </w:t>
            </w:r>
            <w:r w:rsidRPr="00B22E4C">
              <w:rPr>
                <w:rFonts w:cs="Tahoma"/>
                <w:color w:val="000000" w:themeColor="text1"/>
                <w:sz w:val="20"/>
                <w:szCs w:val="20"/>
                <w:u w:val="single"/>
              </w:rPr>
              <w:t>&lt;</w:t>
            </w:r>
            <w:r w:rsidRPr="00B22E4C">
              <w:rPr>
                <w:rFonts w:cs="Tahoma"/>
                <w:color w:val="000000" w:themeColor="text1"/>
                <w:sz w:val="20"/>
                <w:szCs w:val="20"/>
              </w:rPr>
              <w:t>48 hours</w:t>
            </w:r>
          </w:p>
        </w:tc>
      </w:tr>
      <w:tr w:rsidR="00200B80" w:rsidRPr="00B22E4C" w14:paraId="220232AD" w14:textId="77777777" w:rsidTr="00434CE8">
        <w:trPr>
          <w:trHeight w:val="1340"/>
        </w:trPr>
        <w:tc>
          <w:tcPr>
            <w:tcW w:w="1530" w:type="dxa"/>
            <w:shd w:val="clear" w:color="auto" w:fill="D9D9D9" w:themeFill="background1" w:themeFillShade="D9"/>
          </w:tcPr>
          <w:p w14:paraId="65BF7D02" w14:textId="77777777" w:rsidR="00200B80" w:rsidRPr="00B22E4C" w:rsidRDefault="00200B80" w:rsidP="003D1AE1">
            <w:pPr>
              <w:jc w:val="center"/>
              <w:rPr>
                <w:rFonts w:asciiTheme="minorHAnsi" w:hAnsiTheme="minorHAnsi" w:cs="Tahoma"/>
                <w:b/>
                <w:color w:val="000000" w:themeColor="text1"/>
                <w:sz w:val="20"/>
                <w:szCs w:val="20"/>
              </w:rPr>
            </w:pPr>
            <w:r w:rsidRPr="00B22E4C">
              <w:rPr>
                <w:rFonts w:asciiTheme="minorHAnsi" w:hAnsiTheme="minorHAnsi" w:cs="Tahoma"/>
                <w:b/>
                <w:color w:val="000000" w:themeColor="text1"/>
                <w:sz w:val="20"/>
                <w:szCs w:val="20"/>
              </w:rPr>
              <w:t>Endpoints</w:t>
            </w:r>
          </w:p>
          <w:p w14:paraId="7E2B9E06" w14:textId="77777777" w:rsidR="00200B80" w:rsidRPr="00B22E4C" w:rsidRDefault="00200B80" w:rsidP="003D1AE1">
            <w:pPr>
              <w:jc w:val="center"/>
              <w:rPr>
                <w:rFonts w:asciiTheme="minorHAnsi" w:hAnsiTheme="minorHAnsi" w:cs="Tahoma"/>
                <w:b/>
                <w:color w:val="000000" w:themeColor="text1"/>
                <w:sz w:val="20"/>
                <w:szCs w:val="20"/>
              </w:rPr>
            </w:pPr>
          </w:p>
          <w:p w14:paraId="6A5A4663" w14:textId="77777777" w:rsidR="00200B80" w:rsidRPr="00B22E4C" w:rsidRDefault="00200B80" w:rsidP="003D1AE1">
            <w:pPr>
              <w:jc w:val="center"/>
              <w:rPr>
                <w:rFonts w:asciiTheme="minorHAnsi" w:hAnsiTheme="minorHAnsi" w:cs="Tahoma"/>
                <w:b/>
                <w:color w:val="000000" w:themeColor="text1"/>
                <w:sz w:val="20"/>
                <w:szCs w:val="20"/>
              </w:rPr>
            </w:pPr>
          </w:p>
          <w:p w14:paraId="244B27B2" w14:textId="77777777" w:rsidR="00200B80" w:rsidRPr="00B22E4C" w:rsidRDefault="00200B80" w:rsidP="003D1AE1">
            <w:pPr>
              <w:jc w:val="center"/>
              <w:rPr>
                <w:rFonts w:asciiTheme="minorHAnsi" w:hAnsiTheme="minorHAnsi" w:cs="Tahoma"/>
                <w:b/>
                <w:color w:val="000000" w:themeColor="text1"/>
                <w:sz w:val="20"/>
                <w:szCs w:val="20"/>
              </w:rPr>
            </w:pPr>
          </w:p>
          <w:p w14:paraId="723EA86F" w14:textId="77777777" w:rsidR="00200B80" w:rsidRPr="00B22E4C" w:rsidRDefault="00200B80" w:rsidP="003D1AE1">
            <w:pPr>
              <w:jc w:val="center"/>
              <w:rPr>
                <w:rFonts w:asciiTheme="minorHAnsi" w:hAnsiTheme="minorHAnsi" w:cs="Tahoma"/>
                <w:b/>
                <w:color w:val="000000" w:themeColor="text1"/>
                <w:sz w:val="20"/>
                <w:szCs w:val="20"/>
              </w:rPr>
            </w:pPr>
          </w:p>
          <w:p w14:paraId="68D0A32E" w14:textId="77777777" w:rsidR="00200B80" w:rsidRPr="00B22E4C" w:rsidRDefault="00200B80" w:rsidP="00B87748">
            <w:pPr>
              <w:rPr>
                <w:rFonts w:asciiTheme="minorHAnsi" w:hAnsiTheme="minorHAnsi" w:cs="Tahoma"/>
                <w:b/>
                <w:color w:val="000000" w:themeColor="text1"/>
                <w:sz w:val="20"/>
                <w:szCs w:val="20"/>
              </w:rPr>
            </w:pPr>
          </w:p>
        </w:tc>
        <w:tc>
          <w:tcPr>
            <w:tcW w:w="9990" w:type="dxa"/>
            <w:gridSpan w:val="2"/>
          </w:tcPr>
          <w:p w14:paraId="27111B77" w14:textId="77777777" w:rsidR="00200B80" w:rsidRPr="00B22E4C" w:rsidRDefault="00200B80" w:rsidP="00200B80">
            <w:pPr>
              <w:pStyle w:val="ListParagraph"/>
              <w:numPr>
                <w:ilvl w:val="0"/>
                <w:numId w:val="16"/>
              </w:numPr>
              <w:spacing w:after="0" w:line="240" w:lineRule="auto"/>
              <w:rPr>
                <w:rFonts w:cs="Tahoma"/>
                <w:b/>
                <w:color w:val="000000" w:themeColor="text1"/>
                <w:sz w:val="20"/>
                <w:szCs w:val="20"/>
              </w:rPr>
            </w:pPr>
            <w:r w:rsidRPr="00B22E4C">
              <w:rPr>
                <w:rFonts w:cs="Tahoma"/>
                <w:b/>
                <w:color w:val="000000" w:themeColor="text1"/>
                <w:sz w:val="20"/>
                <w:szCs w:val="20"/>
              </w:rPr>
              <w:t xml:space="preserve">Primary efficacy endpoint: </w:t>
            </w:r>
            <w:r w:rsidRPr="00B22E4C">
              <w:rPr>
                <w:rFonts w:cs="Tahoma"/>
                <w:color w:val="000000" w:themeColor="text1"/>
                <w:sz w:val="20"/>
                <w:szCs w:val="20"/>
              </w:rPr>
              <w:t>time to alleviation of symptoms (defined as the time from the start of the trial regimen to the time when all influenza-related symptoms were rated by the patient as absent/mild for ≥21.5 hours)</w:t>
            </w:r>
          </w:p>
          <w:p w14:paraId="56577274" w14:textId="77777777" w:rsidR="00200B80" w:rsidRPr="00B22E4C" w:rsidRDefault="00200B80" w:rsidP="00200B80">
            <w:pPr>
              <w:pStyle w:val="ListParagraph"/>
              <w:numPr>
                <w:ilvl w:val="0"/>
                <w:numId w:val="16"/>
              </w:numPr>
              <w:spacing w:after="0" w:line="240" w:lineRule="auto"/>
              <w:rPr>
                <w:rFonts w:cs="Tahoma"/>
                <w:color w:val="000000" w:themeColor="text1"/>
                <w:sz w:val="20"/>
                <w:szCs w:val="20"/>
              </w:rPr>
            </w:pPr>
            <w:r w:rsidRPr="00B22E4C">
              <w:rPr>
                <w:rFonts w:cs="Tahoma"/>
                <w:b/>
                <w:color w:val="000000" w:themeColor="text1"/>
                <w:sz w:val="20"/>
                <w:szCs w:val="20"/>
              </w:rPr>
              <w:t>Secondary endpoints:</w:t>
            </w:r>
            <w:r w:rsidRPr="00B22E4C">
              <w:rPr>
                <w:rFonts w:cs="Tahoma"/>
                <w:color w:val="000000" w:themeColor="text1"/>
                <w:sz w:val="20"/>
                <w:szCs w:val="20"/>
              </w:rPr>
              <w:t xml:space="preserve"> time to resolution of fever, return to usual health, and newly occurring complications leading to antibiotic use</w:t>
            </w:r>
          </w:p>
          <w:p w14:paraId="73CEBE41" w14:textId="77777777" w:rsidR="00200B80" w:rsidRPr="00B22E4C" w:rsidRDefault="00200B80" w:rsidP="00200B80">
            <w:pPr>
              <w:pStyle w:val="ListParagraph"/>
              <w:numPr>
                <w:ilvl w:val="0"/>
                <w:numId w:val="16"/>
              </w:numPr>
              <w:spacing w:after="0" w:line="240" w:lineRule="auto"/>
              <w:rPr>
                <w:rFonts w:cs="Tahoma"/>
                <w:color w:val="000000" w:themeColor="text1"/>
                <w:sz w:val="20"/>
                <w:szCs w:val="20"/>
              </w:rPr>
            </w:pPr>
            <w:r w:rsidRPr="00B22E4C">
              <w:rPr>
                <w:rFonts w:cs="Tahoma"/>
                <w:b/>
                <w:color w:val="000000" w:themeColor="text1"/>
                <w:sz w:val="20"/>
                <w:szCs w:val="20"/>
              </w:rPr>
              <w:t>Virologic endpoints:</w:t>
            </w:r>
            <w:r w:rsidRPr="00B22E4C">
              <w:rPr>
                <w:rFonts w:cs="Tahoma"/>
                <w:color w:val="000000" w:themeColor="text1"/>
                <w:sz w:val="20"/>
                <w:szCs w:val="20"/>
              </w:rPr>
              <w:t xml:space="preserve"> changes from baseline in infectious virus and viral RNA titers, duration of virus detection, and frequency of emergence of amino acid changes associated with reduced susceptibility to baloxavir</w:t>
            </w:r>
          </w:p>
          <w:p w14:paraId="5D65B5F4" w14:textId="77777777" w:rsidR="00200B80" w:rsidRPr="00B22E4C" w:rsidRDefault="00200B80" w:rsidP="00200B80">
            <w:pPr>
              <w:pStyle w:val="ListParagraph"/>
              <w:numPr>
                <w:ilvl w:val="0"/>
                <w:numId w:val="16"/>
              </w:numPr>
              <w:spacing w:after="0" w:line="240" w:lineRule="auto"/>
              <w:rPr>
                <w:rFonts w:cs="Tahoma"/>
                <w:color w:val="FF0000"/>
                <w:sz w:val="20"/>
                <w:szCs w:val="20"/>
              </w:rPr>
            </w:pPr>
            <w:r w:rsidRPr="00B22E4C">
              <w:rPr>
                <w:rFonts w:cs="Tahoma"/>
                <w:b/>
                <w:color w:val="000000" w:themeColor="text1"/>
                <w:sz w:val="20"/>
                <w:szCs w:val="20"/>
              </w:rPr>
              <w:t>Safety endpoints:</w:t>
            </w:r>
            <w:r w:rsidRPr="00B22E4C">
              <w:rPr>
                <w:rFonts w:cs="Tahoma"/>
                <w:color w:val="000000" w:themeColor="text1"/>
                <w:sz w:val="20"/>
                <w:szCs w:val="20"/>
              </w:rPr>
              <w:t xml:space="preserve"> frequency and severity of adverse events</w:t>
            </w:r>
          </w:p>
        </w:tc>
      </w:tr>
      <w:tr w:rsidR="00DF6047" w:rsidRPr="00B22E4C" w14:paraId="750D675D" w14:textId="77777777" w:rsidTr="00434CE8">
        <w:trPr>
          <w:trHeight w:val="1061"/>
        </w:trPr>
        <w:tc>
          <w:tcPr>
            <w:tcW w:w="1530" w:type="dxa"/>
            <w:shd w:val="clear" w:color="auto" w:fill="D9D9D9" w:themeFill="background1" w:themeFillShade="D9"/>
          </w:tcPr>
          <w:p w14:paraId="495ED2F1" w14:textId="77777777" w:rsidR="00200B80" w:rsidRPr="00B22E4C" w:rsidRDefault="00200B80" w:rsidP="003D1AE1">
            <w:pPr>
              <w:jc w:val="center"/>
              <w:rPr>
                <w:rFonts w:asciiTheme="minorHAnsi" w:hAnsiTheme="minorHAnsi" w:cs="Tahoma"/>
                <w:b/>
                <w:color w:val="000000" w:themeColor="text1"/>
                <w:sz w:val="20"/>
                <w:szCs w:val="20"/>
              </w:rPr>
            </w:pPr>
          </w:p>
          <w:p w14:paraId="55CF34F3" w14:textId="77777777" w:rsidR="00200B80" w:rsidRPr="00B22E4C" w:rsidRDefault="00200B80" w:rsidP="003D1AE1">
            <w:pPr>
              <w:jc w:val="center"/>
              <w:rPr>
                <w:rFonts w:asciiTheme="minorHAnsi" w:hAnsiTheme="minorHAnsi" w:cs="Tahoma"/>
                <w:b/>
                <w:color w:val="000000" w:themeColor="text1"/>
                <w:sz w:val="20"/>
                <w:szCs w:val="20"/>
              </w:rPr>
            </w:pPr>
            <w:r w:rsidRPr="00B22E4C">
              <w:rPr>
                <w:rFonts w:asciiTheme="minorHAnsi" w:hAnsiTheme="minorHAnsi" w:cs="Tahoma"/>
                <w:b/>
                <w:color w:val="000000" w:themeColor="text1"/>
                <w:sz w:val="20"/>
                <w:szCs w:val="20"/>
              </w:rPr>
              <w:t>Results</w:t>
            </w:r>
          </w:p>
        </w:tc>
        <w:tc>
          <w:tcPr>
            <w:tcW w:w="4590" w:type="dxa"/>
          </w:tcPr>
          <w:tbl>
            <w:tblPr>
              <w:tblStyle w:val="TableGrid"/>
              <w:tblpPr w:leftFromText="180" w:rightFromText="180" w:vertAnchor="text" w:horzAnchor="margin" w:tblpXSpec="center" w:tblpY="570"/>
              <w:tblOverlap w:val="never"/>
              <w:tblW w:w="4455" w:type="dxa"/>
              <w:tblLayout w:type="fixed"/>
              <w:tblLook w:val="04A0" w:firstRow="1" w:lastRow="0" w:firstColumn="1" w:lastColumn="0" w:noHBand="0" w:noVBand="1"/>
            </w:tblPr>
            <w:tblGrid>
              <w:gridCol w:w="1863"/>
              <w:gridCol w:w="1296"/>
              <w:gridCol w:w="1296"/>
            </w:tblGrid>
            <w:tr w:rsidR="00DF6047" w:rsidRPr="00B22E4C" w14:paraId="040C463D" w14:textId="77777777" w:rsidTr="00DF6047">
              <w:trPr>
                <w:trHeight w:val="168"/>
              </w:trPr>
              <w:tc>
                <w:tcPr>
                  <w:tcW w:w="1863" w:type="dxa"/>
                  <w:shd w:val="clear" w:color="auto" w:fill="D9D9D9" w:themeFill="background1" w:themeFillShade="D9"/>
                </w:tcPr>
                <w:p w14:paraId="092F4079" w14:textId="77777777" w:rsidR="00DF6047" w:rsidRPr="00B22E4C" w:rsidRDefault="00DF6047" w:rsidP="00DF6047">
                  <w:pPr>
                    <w:jc w:val="center"/>
                    <w:rPr>
                      <w:rFonts w:asciiTheme="minorHAnsi" w:hAnsiTheme="minorHAnsi" w:cs="Tahoma"/>
                      <w:b/>
                      <w:color w:val="000000" w:themeColor="text1"/>
                      <w:sz w:val="20"/>
                      <w:szCs w:val="20"/>
                    </w:rPr>
                  </w:pPr>
                  <w:r w:rsidRPr="00B22E4C">
                    <w:rPr>
                      <w:rFonts w:asciiTheme="minorHAnsi" w:hAnsiTheme="minorHAnsi" w:cs="Tahoma"/>
                      <w:b/>
                      <w:color w:val="000000" w:themeColor="text1"/>
                      <w:sz w:val="20"/>
                      <w:szCs w:val="20"/>
                    </w:rPr>
                    <w:t>Group</w:t>
                  </w:r>
                </w:p>
              </w:tc>
              <w:tc>
                <w:tcPr>
                  <w:tcW w:w="1296" w:type="dxa"/>
                  <w:shd w:val="clear" w:color="auto" w:fill="D9D9D9" w:themeFill="background1" w:themeFillShade="D9"/>
                </w:tcPr>
                <w:p w14:paraId="74C90E89" w14:textId="77777777" w:rsidR="00DF6047" w:rsidRPr="00B22E4C" w:rsidRDefault="00DF6047" w:rsidP="00DF6047">
                  <w:pPr>
                    <w:jc w:val="center"/>
                    <w:rPr>
                      <w:rFonts w:asciiTheme="minorHAnsi" w:hAnsiTheme="minorHAnsi" w:cs="Tahoma"/>
                      <w:b/>
                      <w:color w:val="000000" w:themeColor="text1"/>
                      <w:sz w:val="20"/>
                      <w:szCs w:val="20"/>
                    </w:rPr>
                  </w:pPr>
                  <w:r w:rsidRPr="00B22E4C">
                    <w:rPr>
                      <w:rFonts w:asciiTheme="minorHAnsi" w:hAnsiTheme="minorHAnsi" w:cs="Tahoma"/>
                      <w:b/>
                      <w:color w:val="000000" w:themeColor="text1"/>
                      <w:sz w:val="20"/>
                      <w:szCs w:val="20"/>
                    </w:rPr>
                    <w:t>Time (Hours)</w:t>
                  </w:r>
                </w:p>
              </w:tc>
              <w:tc>
                <w:tcPr>
                  <w:tcW w:w="1296" w:type="dxa"/>
                  <w:shd w:val="clear" w:color="auto" w:fill="D9D9D9" w:themeFill="background1" w:themeFillShade="D9"/>
                </w:tcPr>
                <w:p w14:paraId="603FA0E4" w14:textId="77777777" w:rsidR="00DF6047" w:rsidRPr="00B22E4C" w:rsidRDefault="00DF6047" w:rsidP="00DF6047">
                  <w:pPr>
                    <w:jc w:val="center"/>
                    <w:rPr>
                      <w:rFonts w:asciiTheme="minorHAnsi" w:hAnsiTheme="minorHAnsi" w:cs="Tahoma"/>
                      <w:b/>
                      <w:color w:val="000000" w:themeColor="text1"/>
                      <w:sz w:val="20"/>
                      <w:szCs w:val="20"/>
                    </w:rPr>
                  </w:pPr>
                  <w:r w:rsidRPr="00B22E4C">
                    <w:rPr>
                      <w:rFonts w:asciiTheme="minorHAnsi" w:hAnsiTheme="minorHAnsi" w:cs="Tahoma"/>
                      <w:b/>
                      <w:color w:val="000000" w:themeColor="text1"/>
                      <w:sz w:val="20"/>
                      <w:szCs w:val="20"/>
                    </w:rPr>
                    <w:t>P-value</w:t>
                  </w:r>
                </w:p>
              </w:tc>
            </w:tr>
            <w:tr w:rsidR="00DF6047" w:rsidRPr="00B22E4C" w14:paraId="39075822" w14:textId="77777777" w:rsidTr="00DF6047">
              <w:trPr>
                <w:trHeight w:val="923"/>
              </w:trPr>
              <w:tc>
                <w:tcPr>
                  <w:tcW w:w="1863" w:type="dxa"/>
                </w:tcPr>
                <w:p w14:paraId="65EF4BDA" w14:textId="77777777" w:rsidR="00DF6047" w:rsidRPr="00B22E4C" w:rsidRDefault="00DF6047" w:rsidP="00DF6047">
                  <w:pPr>
                    <w:rPr>
                      <w:rFonts w:asciiTheme="minorHAnsi" w:hAnsiTheme="minorHAnsi" w:cs="Tahoma"/>
                      <w:color w:val="000000" w:themeColor="text1"/>
                      <w:sz w:val="20"/>
                      <w:szCs w:val="20"/>
                    </w:rPr>
                  </w:pPr>
                  <w:r w:rsidRPr="00B22E4C">
                    <w:rPr>
                      <w:rFonts w:asciiTheme="minorHAnsi" w:hAnsiTheme="minorHAnsi" w:cs="Tahoma"/>
                      <w:color w:val="000000" w:themeColor="text1"/>
                      <w:sz w:val="20"/>
                      <w:szCs w:val="20"/>
                    </w:rPr>
                    <w:t>Baloxavir</w:t>
                  </w:r>
                </w:p>
                <w:p w14:paraId="283DE528" w14:textId="77777777" w:rsidR="00DF6047" w:rsidRPr="00B22E4C" w:rsidRDefault="00DF6047" w:rsidP="00DF6047">
                  <w:pPr>
                    <w:rPr>
                      <w:rFonts w:asciiTheme="minorHAnsi" w:hAnsiTheme="minorHAnsi" w:cs="Tahoma"/>
                      <w:color w:val="000000" w:themeColor="text1"/>
                      <w:sz w:val="20"/>
                      <w:szCs w:val="20"/>
                    </w:rPr>
                  </w:pPr>
                  <w:r w:rsidRPr="00B22E4C">
                    <w:rPr>
                      <w:rFonts w:asciiTheme="minorHAnsi" w:hAnsiTheme="minorHAnsi" w:cs="Tahoma"/>
                      <w:color w:val="000000" w:themeColor="text1"/>
                      <w:sz w:val="20"/>
                      <w:szCs w:val="20"/>
                    </w:rPr>
                    <w:t xml:space="preserve">    10 mg</w:t>
                  </w:r>
                </w:p>
                <w:p w14:paraId="698CE5C7" w14:textId="77777777" w:rsidR="00DF6047" w:rsidRPr="00B22E4C" w:rsidRDefault="00DF6047" w:rsidP="00DF6047">
                  <w:pPr>
                    <w:rPr>
                      <w:rFonts w:asciiTheme="minorHAnsi" w:hAnsiTheme="minorHAnsi" w:cs="Tahoma"/>
                      <w:color w:val="000000" w:themeColor="text1"/>
                      <w:sz w:val="20"/>
                      <w:szCs w:val="20"/>
                    </w:rPr>
                  </w:pPr>
                  <w:r w:rsidRPr="00B22E4C">
                    <w:rPr>
                      <w:rFonts w:asciiTheme="minorHAnsi" w:hAnsiTheme="minorHAnsi" w:cs="Tahoma"/>
                      <w:color w:val="000000" w:themeColor="text1"/>
                      <w:sz w:val="20"/>
                      <w:szCs w:val="20"/>
                    </w:rPr>
                    <w:t xml:space="preserve">    20 mg</w:t>
                  </w:r>
                </w:p>
                <w:p w14:paraId="5D57F09D" w14:textId="77777777" w:rsidR="00DF6047" w:rsidRPr="00B22E4C" w:rsidRDefault="00DF6047" w:rsidP="00DF6047">
                  <w:pPr>
                    <w:rPr>
                      <w:rFonts w:asciiTheme="minorHAnsi" w:hAnsiTheme="minorHAnsi" w:cs="Tahoma"/>
                      <w:color w:val="000000" w:themeColor="text1"/>
                      <w:sz w:val="20"/>
                      <w:szCs w:val="20"/>
                    </w:rPr>
                  </w:pPr>
                  <w:r w:rsidRPr="00B22E4C">
                    <w:rPr>
                      <w:rFonts w:asciiTheme="minorHAnsi" w:hAnsiTheme="minorHAnsi" w:cs="Tahoma"/>
                      <w:color w:val="000000" w:themeColor="text1"/>
                      <w:sz w:val="20"/>
                      <w:szCs w:val="20"/>
                    </w:rPr>
                    <w:t xml:space="preserve">    40 mg</w:t>
                  </w:r>
                </w:p>
              </w:tc>
              <w:tc>
                <w:tcPr>
                  <w:tcW w:w="1296" w:type="dxa"/>
                </w:tcPr>
                <w:p w14:paraId="11B69167" w14:textId="77777777" w:rsidR="00DF6047" w:rsidRPr="00B22E4C" w:rsidRDefault="00DF6047" w:rsidP="00DF6047">
                  <w:pPr>
                    <w:jc w:val="center"/>
                    <w:rPr>
                      <w:rFonts w:asciiTheme="minorHAnsi" w:hAnsiTheme="minorHAnsi" w:cs="Tahoma"/>
                      <w:color w:val="000000" w:themeColor="text1"/>
                      <w:sz w:val="20"/>
                      <w:szCs w:val="20"/>
                    </w:rPr>
                  </w:pPr>
                </w:p>
                <w:p w14:paraId="23F4D225" w14:textId="77777777" w:rsidR="00DF6047" w:rsidRPr="00B22E4C" w:rsidRDefault="00DF6047" w:rsidP="00DF6047">
                  <w:pPr>
                    <w:jc w:val="center"/>
                    <w:rPr>
                      <w:rFonts w:asciiTheme="minorHAnsi" w:hAnsiTheme="minorHAnsi" w:cs="Tahoma"/>
                      <w:color w:val="000000" w:themeColor="text1"/>
                      <w:sz w:val="20"/>
                      <w:szCs w:val="20"/>
                    </w:rPr>
                  </w:pPr>
                  <w:r w:rsidRPr="00B22E4C">
                    <w:rPr>
                      <w:rFonts w:asciiTheme="minorHAnsi" w:hAnsiTheme="minorHAnsi" w:cs="Tahoma"/>
                      <w:color w:val="000000" w:themeColor="text1"/>
                      <w:sz w:val="20"/>
                      <w:szCs w:val="20"/>
                    </w:rPr>
                    <w:t>54.2</w:t>
                  </w:r>
                </w:p>
                <w:p w14:paraId="022E91FD" w14:textId="77777777" w:rsidR="00DF6047" w:rsidRPr="00B22E4C" w:rsidRDefault="00DF6047" w:rsidP="00DF6047">
                  <w:pPr>
                    <w:jc w:val="center"/>
                    <w:rPr>
                      <w:rFonts w:asciiTheme="minorHAnsi" w:hAnsiTheme="minorHAnsi" w:cs="Tahoma"/>
                      <w:color w:val="000000" w:themeColor="text1"/>
                      <w:sz w:val="20"/>
                      <w:szCs w:val="20"/>
                    </w:rPr>
                  </w:pPr>
                  <w:r w:rsidRPr="00B22E4C">
                    <w:rPr>
                      <w:rFonts w:asciiTheme="minorHAnsi" w:hAnsiTheme="minorHAnsi" w:cs="Tahoma"/>
                      <w:color w:val="000000" w:themeColor="text1"/>
                      <w:sz w:val="20"/>
                      <w:szCs w:val="20"/>
                    </w:rPr>
                    <w:t>51</w:t>
                  </w:r>
                </w:p>
                <w:p w14:paraId="4FA34165" w14:textId="77777777" w:rsidR="00DF6047" w:rsidRPr="00B22E4C" w:rsidRDefault="00DF6047" w:rsidP="00DF6047">
                  <w:pPr>
                    <w:jc w:val="center"/>
                    <w:rPr>
                      <w:rFonts w:asciiTheme="minorHAnsi" w:hAnsiTheme="minorHAnsi" w:cs="Tahoma"/>
                      <w:color w:val="000000" w:themeColor="text1"/>
                      <w:sz w:val="20"/>
                      <w:szCs w:val="20"/>
                    </w:rPr>
                  </w:pPr>
                  <w:r w:rsidRPr="00B22E4C">
                    <w:rPr>
                      <w:rFonts w:asciiTheme="minorHAnsi" w:hAnsiTheme="minorHAnsi" w:cs="Tahoma"/>
                      <w:color w:val="000000" w:themeColor="text1"/>
                      <w:sz w:val="20"/>
                      <w:szCs w:val="20"/>
                    </w:rPr>
                    <w:t>49.5</w:t>
                  </w:r>
                </w:p>
              </w:tc>
              <w:tc>
                <w:tcPr>
                  <w:tcW w:w="1296" w:type="dxa"/>
                  <w:vMerge w:val="restart"/>
                </w:tcPr>
                <w:p w14:paraId="45109928" w14:textId="77777777" w:rsidR="00DF6047" w:rsidRPr="00B22E4C" w:rsidRDefault="00DF6047" w:rsidP="00DF6047">
                  <w:pPr>
                    <w:jc w:val="center"/>
                    <w:rPr>
                      <w:rFonts w:asciiTheme="minorHAnsi" w:hAnsiTheme="minorHAnsi" w:cs="Tahoma"/>
                      <w:color w:val="000000" w:themeColor="text1"/>
                      <w:sz w:val="20"/>
                      <w:szCs w:val="20"/>
                    </w:rPr>
                  </w:pPr>
                </w:p>
                <w:p w14:paraId="28D07FBB" w14:textId="77777777" w:rsidR="00DF6047" w:rsidRPr="00B22E4C" w:rsidRDefault="00DF6047" w:rsidP="00DF6047">
                  <w:pPr>
                    <w:jc w:val="center"/>
                    <w:rPr>
                      <w:rFonts w:asciiTheme="minorHAnsi" w:hAnsiTheme="minorHAnsi" w:cs="Tahoma"/>
                      <w:color w:val="000000" w:themeColor="text1"/>
                      <w:sz w:val="20"/>
                      <w:szCs w:val="20"/>
                    </w:rPr>
                  </w:pPr>
                  <w:r w:rsidRPr="00B22E4C">
                    <w:rPr>
                      <w:rFonts w:asciiTheme="minorHAnsi" w:hAnsiTheme="minorHAnsi" w:cs="Tahoma"/>
                      <w:color w:val="000000" w:themeColor="text1"/>
                      <w:sz w:val="20"/>
                      <w:szCs w:val="20"/>
                    </w:rPr>
                    <w:t>0.009</w:t>
                  </w:r>
                </w:p>
                <w:p w14:paraId="61C0E77F" w14:textId="77777777" w:rsidR="00DF6047" w:rsidRPr="00B22E4C" w:rsidRDefault="00DF6047" w:rsidP="00DF6047">
                  <w:pPr>
                    <w:jc w:val="center"/>
                    <w:rPr>
                      <w:rFonts w:asciiTheme="minorHAnsi" w:hAnsiTheme="minorHAnsi" w:cs="Tahoma"/>
                      <w:color w:val="000000" w:themeColor="text1"/>
                      <w:sz w:val="20"/>
                      <w:szCs w:val="20"/>
                    </w:rPr>
                  </w:pPr>
                  <w:r w:rsidRPr="00B22E4C">
                    <w:rPr>
                      <w:rFonts w:asciiTheme="minorHAnsi" w:hAnsiTheme="minorHAnsi" w:cs="Tahoma"/>
                      <w:color w:val="000000" w:themeColor="text1"/>
                      <w:sz w:val="20"/>
                      <w:szCs w:val="20"/>
                    </w:rPr>
                    <w:t>0.02</w:t>
                  </w:r>
                </w:p>
                <w:p w14:paraId="407DE6AD" w14:textId="77777777" w:rsidR="00DF6047" w:rsidRPr="00B22E4C" w:rsidRDefault="00DF6047" w:rsidP="00DF6047">
                  <w:pPr>
                    <w:jc w:val="center"/>
                    <w:rPr>
                      <w:rFonts w:asciiTheme="minorHAnsi" w:hAnsiTheme="minorHAnsi" w:cs="Tahoma"/>
                      <w:color w:val="000000" w:themeColor="text1"/>
                      <w:sz w:val="20"/>
                      <w:szCs w:val="20"/>
                    </w:rPr>
                  </w:pPr>
                  <w:r w:rsidRPr="00B22E4C">
                    <w:rPr>
                      <w:rFonts w:asciiTheme="minorHAnsi" w:hAnsiTheme="minorHAnsi" w:cs="Tahoma"/>
                      <w:color w:val="000000" w:themeColor="text1"/>
                      <w:sz w:val="20"/>
                      <w:szCs w:val="20"/>
                    </w:rPr>
                    <w:t>0.005</w:t>
                  </w:r>
                </w:p>
              </w:tc>
            </w:tr>
            <w:tr w:rsidR="00DF6047" w:rsidRPr="00B22E4C" w14:paraId="4149F582" w14:textId="77777777" w:rsidTr="00DF6047">
              <w:trPr>
                <w:trHeight w:val="235"/>
              </w:trPr>
              <w:tc>
                <w:tcPr>
                  <w:tcW w:w="1863" w:type="dxa"/>
                </w:tcPr>
                <w:p w14:paraId="69CCEFA8" w14:textId="77777777" w:rsidR="00DF6047" w:rsidRPr="00B22E4C" w:rsidRDefault="00DF6047" w:rsidP="00DF6047">
                  <w:pPr>
                    <w:rPr>
                      <w:rFonts w:asciiTheme="minorHAnsi" w:hAnsiTheme="minorHAnsi" w:cs="Tahoma"/>
                      <w:color w:val="000000" w:themeColor="text1"/>
                      <w:sz w:val="20"/>
                      <w:szCs w:val="20"/>
                    </w:rPr>
                  </w:pPr>
                  <w:r w:rsidRPr="00B22E4C">
                    <w:rPr>
                      <w:rFonts w:asciiTheme="minorHAnsi" w:hAnsiTheme="minorHAnsi" w:cs="Tahoma"/>
                      <w:color w:val="000000" w:themeColor="text1"/>
                      <w:sz w:val="20"/>
                      <w:szCs w:val="20"/>
                    </w:rPr>
                    <w:t>Placebo</w:t>
                  </w:r>
                </w:p>
              </w:tc>
              <w:tc>
                <w:tcPr>
                  <w:tcW w:w="1296" w:type="dxa"/>
                </w:tcPr>
                <w:p w14:paraId="76130207" w14:textId="77777777" w:rsidR="00DF6047" w:rsidRPr="00B22E4C" w:rsidRDefault="00DF6047" w:rsidP="00DF6047">
                  <w:pPr>
                    <w:jc w:val="center"/>
                    <w:rPr>
                      <w:rFonts w:asciiTheme="minorHAnsi" w:hAnsiTheme="minorHAnsi" w:cs="Tahoma"/>
                      <w:color w:val="000000" w:themeColor="text1"/>
                      <w:sz w:val="20"/>
                      <w:szCs w:val="20"/>
                    </w:rPr>
                  </w:pPr>
                  <w:r w:rsidRPr="00B22E4C">
                    <w:rPr>
                      <w:rFonts w:asciiTheme="minorHAnsi" w:hAnsiTheme="minorHAnsi" w:cs="Tahoma"/>
                      <w:color w:val="000000" w:themeColor="text1"/>
                      <w:sz w:val="20"/>
                      <w:szCs w:val="20"/>
                    </w:rPr>
                    <w:t>77.7</w:t>
                  </w:r>
                </w:p>
              </w:tc>
              <w:tc>
                <w:tcPr>
                  <w:tcW w:w="1296" w:type="dxa"/>
                  <w:vMerge/>
                </w:tcPr>
                <w:p w14:paraId="5241CC5D" w14:textId="77777777" w:rsidR="00DF6047" w:rsidRPr="00B22E4C" w:rsidRDefault="00DF6047" w:rsidP="00DF6047">
                  <w:pPr>
                    <w:jc w:val="center"/>
                    <w:rPr>
                      <w:rFonts w:asciiTheme="minorHAnsi" w:hAnsiTheme="minorHAnsi" w:cs="Tahoma"/>
                      <w:color w:val="000000" w:themeColor="text1"/>
                      <w:sz w:val="20"/>
                      <w:szCs w:val="20"/>
                    </w:rPr>
                  </w:pPr>
                </w:p>
              </w:tc>
            </w:tr>
          </w:tbl>
          <w:p w14:paraId="4D5C6161" w14:textId="77777777" w:rsidR="00DF6047" w:rsidRPr="00B22E4C" w:rsidRDefault="007815AA" w:rsidP="00DF6047">
            <w:pPr>
              <w:pStyle w:val="ListParagraph"/>
              <w:numPr>
                <w:ilvl w:val="0"/>
                <w:numId w:val="1"/>
              </w:numPr>
              <w:rPr>
                <w:rFonts w:cs="Tahoma"/>
                <w:b/>
                <w:color w:val="000000" w:themeColor="text1"/>
                <w:sz w:val="20"/>
                <w:szCs w:val="20"/>
              </w:rPr>
            </w:pPr>
            <w:r w:rsidRPr="00B22E4C">
              <w:rPr>
                <w:rFonts w:cs="Tahoma"/>
                <w:b/>
                <w:color w:val="000000" w:themeColor="text1"/>
                <w:sz w:val="20"/>
                <w:szCs w:val="20"/>
              </w:rPr>
              <w:t xml:space="preserve">Primary endpoint:  </w:t>
            </w:r>
            <w:r w:rsidR="00200B80" w:rsidRPr="00B22E4C">
              <w:rPr>
                <w:rFonts w:cs="Tahoma"/>
                <w:color w:val="000000" w:themeColor="text1"/>
                <w:sz w:val="20"/>
                <w:szCs w:val="20"/>
              </w:rPr>
              <w:t>Median Time to Alleviation of Symptoms</w:t>
            </w:r>
          </w:p>
          <w:p w14:paraId="6C10A851" w14:textId="77777777" w:rsidR="00B87748" w:rsidRPr="00B22E4C" w:rsidRDefault="00B87748" w:rsidP="00200B80">
            <w:pPr>
              <w:pStyle w:val="ListParagraph"/>
              <w:numPr>
                <w:ilvl w:val="0"/>
                <w:numId w:val="19"/>
              </w:numPr>
              <w:spacing w:after="0" w:line="240" w:lineRule="auto"/>
              <w:rPr>
                <w:rFonts w:cs="Tahoma"/>
                <w:color w:val="000000" w:themeColor="text1"/>
                <w:sz w:val="20"/>
                <w:szCs w:val="20"/>
              </w:rPr>
            </w:pPr>
            <w:r w:rsidRPr="00B22E4C">
              <w:rPr>
                <w:rFonts w:cs="Tahoma"/>
                <w:b/>
                <w:color w:val="000000" w:themeColor="text1"/>
                <w:sz w:val="20"/>
                <w:szCs w:val="20"/>
              </w:rPr>
              <w:t>Viral endpoints</w:t>
            </w:r>
            <w:r w:rsidRPr="00B22E4C">
              <w:rPr>
                <w:rFonts w:cs="Tahoma"/>
                <w:color w:val="000000" w:themeColor="text1"/>
                <w:sz w:val="20"/>
                <w:szCs w:val="20"/>
              </w:rPr>
              <w:t xml:space="preserve">: </w:t>
            </w:r>
          </w:p>
          <w:p w14:paraId="561622B6" w14:textId="77777777" w:rsidR="00200B80" w:rsidRPr="00B22E4C" w:rsidRDefault="00200B80" w:rsidP="00B87748">
            <w:pPr>
              <w:pStyle w:val="ListParagraph"/>
              <w:numPr>
                <w:ilvl w:val="1"/>
                <w:numId w:val="19"/>
              </w:numPr>
              <w:spacing w:after="0" w:line="240" w:lineRule="auto"/>
              <w:ind w:left="720"/>
              <w:rPr>
                <w:rFonts w:cs="Tahoma"/>
                <w:color w:val="000000" w:themeColor="text1"/>
                <w:sz w:val="20"/>
                <w:szCs w:val="20"/>
              </w:rPr>
            </w:pPr>
            <w:r w:rsidRPr="00B22E4C">
              <w:rPr>
                <w:rFonts w:cs="Tahoma"/>
                <w:color w:val="000000" w:themeColor="text1"/>
                <w:sz w:val="20"/>
                <w:szCs w:val="20"/>
              </w:rPr>
              <w:t>All baloxavir groups had significantly greater reductions in influenza virus titers on days 2 and 3 when compared to the placebo group</w:t>
            </w:r>
          </w:p>
          <w:p w14:paraId="2A3E808D" w14:textId="77777777" w:rsidR="00200B80" w:rsidRPr="00B22E4C" w:rsidRDefault="00200B80" w:rsidP="00B87748">
            <w:pPr>
              <w:pStyle w:val="ListParagraph"/>
              <w:numPr>
                <w:ilvl w:val="1"/>
                <w:numId w:val="19"/>
              </w:numPr>
              <w:spacing w:after="0" w:line="240" w:lineRule="auto"/>
              <w:ind w:left="720"/>
              <w:rPr>
                <w:rFonts w:cs="Tahoma"/>
                <w:color w:val="000000" w:themeColor="text1"/>
                <w:sz w:val="20"/>
                <w:szCs w:val="20"/>
              </w:rPr>
            </w:pPr>
            <w:r w:rsidRPr="00B22E4C">
              <w:rPr>
                <w:rFonts w:cs="Tahoma"/>
                <w:color w:val="000000" w:themeColor="text1"/>
                <w:sz w:val="20"/>
                <w:szCs w:val="20"/>
              </w:rPr>
              <w:t>Amino acid substitutions: 4/182 baloxavir recipients (2.2%) had post-treatment viruses with amino acid substitutions that confer reductions in susceptibility to baloxavir</w:t>
            </w:r>
          </w:p>
          <w:p w14:paraId="3AD6724C" w14:textId="77777777" w:rsidR="00200B80" w:rsidRPr="00B22E4C" w:rsidRDefault="00B87748" w:rsidP="00200B80">
            <w:pPr>
              <w:pStyle w:val="ListParagraph"/>
              <w:numPr>
                <w:ilvl w:val="0"/>
                <w:numId w:val="19"/>
              </w:numPr>
              <w:spacing w:after="0" w:line="240" w:lineRule="auto"/>
              <w:rPr>
                <w:rFonts w:cs="Tahoma"/>
                <w:color w:val="000000" w:themeColor="text1"/>
                <w:sz w:val="20"/>
                <w:szCs w:val="20"/>
              </w:rPr>
            </w:pPr>
            <w:r w:rsidRPr="00B22E4C">
              <w:rPr>
                <w:rFonts w:cs="Tahoma"/>
                <w:b/>
                <w:color w:val="000000" w:themeColor="text1"/>
                <w:sz w:val="20"/>
                <w:szCs w:val="20"/>
              </w:rPr>
              <w:t>Safety endpoints</w:t>
            </w:r>
            <w:r w:rsidRPr="00B22E4C">
              <w:rPr>
                <w:rFonts w:cs="Tahoma"/>
                <w:color w:val="000000" w:themeColor="text1"/>
                <w:sz w:val="20"/>
                <w:szCs w:val="20"/>
              </w:rPr>
              <w:t xml:space="preserve">: </w:t>
            </w:r>
            <w:r w:rsidR="00200B80" w:rsidRPr="00B22E4C">
              <w:rPr>
                <w:rFonts w:cs="Tahoma"/>
                <w:color w:val="000000" w:themeColor="text1"/>
                <w:sz w:val="20"/>
                <w:szCs w:val="20"/>
              </w:rPr>
              <w:t>Adverse events</w:t>
            </w:r>
          </w:p>
          <w:p w14:paraId="4FEB959D" w14:textId="77777777" w:rsidR="00200B80" w:rsidRPr="00B22E4C" w:rsidRDefault="00200B80" w:rsidP="00200B80">
            <w:pPr>
              <w:pStyle w:val="ListParagraph"/>
              <w:numPr>
                <w:ilvl w:val="0"/>
                <w:numId w:val="20"/>
              </w:numPr>
              <w:spacing w:after="0" w:line="240" w:lineRule="auto"/>
              <w:rPr>
                <w:rFonts w:cs="Tahoma"/>
                <w:color w:val="000000" w:themeColor="text1"/>
                <w:sz w:val="20"/>
                <w:szCs w:val="20"/>
              </w:rPr>
            </w:pPr>
            <w:r w:rsidRPr="00B22E4C">
              <w:rPr>
                <w:rFonts w:cs="Tahoma"/>
                <w:color w:val="000000" w:themeColor="text1"/>
                <w:sz w:val="20"/>
                <w:szCs w:val="20"/>
              </w:rPr>
              <w:t>Reported in 23-27% of patients in the baloxavir groups and 29% in the placebo group, with no important differences in rates of specific events</w:t>
            </w:r>
          </w:p>
          <w:p w14:paraId="1BD7973B" w14:textId="77777777" w:rsidR="00200B80" w:rsidRPr="00B22E4C" w:rsidRDefault="00200B80" w:rsidP="00200B80">
            <w:pPr>
              <w:pStyle w:val="ListParagraph"/>
              <w:numPr>
                <w:ilvl w:val="0"/>
                <w:numId w:val="20"/>
              </w:numPr>
              <w:spacing w:after="0" w:line="240" w:lineRule="auto"/>
              <w:rPr>
                <w:rFonts w:cs="Tahoma"/>
                <w:color w:val="FF0000"/>
                <w:sz w:val="20"/>
                <w:szCs w:val="20"/>
              </w:rPr>
            </w:pPr>
            <w:r w:rsidRPr="00B22E4C">
              <w:rPr>
                <w:rFonts w:cs="Tahoma"/>
                <w:color w:val="000000" w:themeColor="text1"/>
                <w:sz w:val="20"/>
                <w:szCs w:val="20"/>
              </w:rPr>
              <w:lastRenderedPageBreak/>
              <w:t>No adverse events leading to withdrawal from the trial and no serious adverse events occurred</w:t>
            </w:r>
          </w:p>
        </w:tc>
        <w:tc>
          <w:tcPr>
            <w:tcW w:w="5400" w:type="dxa"/>
          </w:tcPr>
          <w:p w14:paraId="38D17B31" w14:textId="77777777" w:rsidR="00200B80" w:rsidRPr="00B22E4C" w:rsidRDefault="007815AA" w:rsidP="00200B80">
            <w:pPr>
              <w:pStyle w:val="ListParagraph"/>
              <w:numPr>
                <w:ilvl w:val="0"/>
                <w:numId w:val="21"/>
              </w:numPr>
              <w:spacing w:after="0" w:line="240" w:lineRule="auto"/>
              <w:rPr>
                <w:rFonts w:cs="Tahoma"/>
                <w:color w:val="000000" w:themeColor="text1"/>
                <w:sz w:val="20"/>
                <w:szCs w:val="20"/>
              </w:rPr>
            </w:pPr>
            <w:r w:rsidRPr="00B22E4C">
              <w:rPr>
                <w:rFonts w:cs="Tahoma"/>
                <w:b/>
                <w:color w:val="000000" w:themeColor="text1"/>
                <w:sz w:val="20"/>
                <w:szCs w:val="20"/>
              </w:rPr>
              <w:lastRenderedPageBreak/>
              <w:t>Primary endpoint</w:t>
            </w:r>
            <w:r w:rsidRPr="00B22E4C">
              <w:rPr>
                <w:rFonts w:cs="Tahoma"/>
                <w:color w:val="000000" w:themeColor="text1"/>
                <w:sz w:val="20"/>
                <w:szCs w:val="20"/>
              </w:rPr>
              <w:t xml:space="preserve">: </w:t>
            </w:r>
            <w:r w:rsidR="00200B80" w:rsidRPr="00B22E4C">
              <w:rPr>
                <w:rFonts w:cs="Tahoma"/>
                <w:color w:val="000000" w:themeColor="text1"/>
                <w:sz w:val="20"/>
                <w:szCs w:val="20"/>
              </w:rPr>
              <w:t>Median time to alleviation of symptoms</w:t>
            </w:r>
          </w:p>
          <w:p w14:paraId="576FC896" w14:textId="77777777" w:rsidR="00200B80" w:rsidRPr="00B22E4C" w:rsidRDefault="007815AA" w:rsidP="00200B80">
            <w:pPr>
              <w:pStyle w:val="ListParagraph"/>
              <w:numPr>
                <w:ilvl w:val="0"/>
                <w:numId w:val="22"/>
              </w:numPr>
              <w:spacing w:after="0" w:line="240" w:lineRule="auto"/>
              <w:rPr>
                <w:rFonts w:cs="Tahoma"/>
                <w:color w:val="000000" w:themeColor="text1"/>
                <w:sz w:val="20"/>
                <w:szCs w:val="20"/>
              </w:rPr>
            </w:pPr>
            <w:r w:rsidRPr="00B22E4C">
              <w:rPr>
                <w:rFonts w:cs="Tahoma"/>
                <w:color w:val="000000" w:themeColor="text1"/>
                <w:sz w:val="20"/>
                <w:szCs w:val="20"/>
              </w:rPr>
              <w:t>Baloxavir: 53.5</w:t>
            </w:r>
            <w:r w:rsidR="00200B80" w:rsidRPr="00B22E4C">
              <w:rPr>
                <w:rFonts w:cs="Tahoma"/>
                <w:color w:val="000000" w:themeColor="text1"/>
                <w:sz w:val="20"/>
                <w:szCs w:val="20"/>
              </w:rPr>
              <w:t xml:space="preserve"> hours</w:t>
            </w:r>
            <w:r w:rsidRPr="00B22E4C">
              <w:rPr>
                <w:rFonts w:cs="Tahoma"/>
                <w:color w:val="000000" w:themeColor="text1"/>
                <w:sz w:val="20"/>
                <w:szCs w:val="20"/>
              </w:rPr>
              <w:t xml:space="preserve"> (95% CI: 48.0, 58.5)</w:t>
            </w:r>
          </w:p>
          <w:p w14:paraId="766F0EC3" w14:textId="77777777" w:rsidR="00200B80" w:rsidRPr="00B22E4C" w:rsidRDefault="00200B80" w:rsidP="00200B80">
            <w:pPr>
              <w:pStyle w:val="ListParagraph"/>
              <w:numPr>
                <w:ilvl w:val="0"/>
                <w:numId w:val="22"/>
              </w:numPr>
              <w:spacing w:after="0" w:line="240" w:lineRule="auto"/>
              <w:rPr>
                <w:rFonts w:cs="Tahoma"/>
                <w:color w:val="000000" w:themeColor="text1"/>
                <w:sz w:val="20"/>
                <w:szCs w:val="20"/>
              </w:rPr>
            </w:pPr>
            <w:r w:rsidRPr="00B22E4C">
              <w:rPr>
                <w:rFonts w:cs="Tahoma"/>
                <w:color w:val="000000" w:themeColor="text1"/>
                <w:sz w:val="20"/>
                <w:szCs w:val="20"/>
              </w:rPr>
              <w:t>Oseltamivir: 53.8 hours</w:t>
            </w:r>
            <w:r w:rsidR="007815AA" w:rsidRPr="00B22E4C">
              <w:rPr>
                <w:rFonts w:cs="Tahoma"/>
                <w:color w:val="000000" w:themeColor="text1"/>
                <w:sz w:val="20"/>
                <w:szCs w:val="20"/>
              </w:rPr>
              <w:t xml:space="preserve"> (95% CI: 50.2, 56.4)</w:t>
            </w:r>
          </w:p>
          <w:p w14:paraId="1D963ABD" w14:textId="77777777" w:rsidR="00200B80" w:rsidRPr="00B22E4C" w:rsidRDefault="00200B80" w:rsidP="00200B80">
            <w:pPr>
              <w:pStyle w:val="ListParagraph"/>
              <w:numPr>
                <w:ilvl w:val="0"/>
                <w:numId w:val="22"/>
              </w:numPr>
              <w:spacing w:after="0" w:line="240" w:lineRule="auto"/>
              <w:rPr>
                <w:rFonts w:cs="Tahoma"/>
                <w:color w:val="000000" w:themeColor="text1"/>
                <w:sz w:val="20"/>
                <w:szCs w:val="20"/>
              </w:rPr>
            </w:pPr>
            <w:r w:rsidRPr="00B22E4C">
              <w:rPr>
                <w:rFonts w:cs="Tahoma"/>
                <w:color w:val="000000" w:themeColor="text1"/>
                <w:sz w:val="20"/>
                <w:szCs w:val="20"/>
              </w:rPr>
              <w:t>Placebo: 80.2 hours</w:t>
            </w:r>
          </w:p>
          <w:p w14:paraId="27582DB8" w14:textId="77777777" w:rsidR="00200B80" w:rsidRPr="00B22E4C" w:rsidRDefault="00200B80" w:rsidP="00200B80">
            <w:pPr>
              <w:pStyle w:val="ListParagraph"/>
              <w:numPr>
                <w:ilvl w:val="0"/>
                <w:numId w:val="22"/>
              </w:numPr>
              <w:spacing w:after="0" w:line="240" w:lineRule="auto"/>
              <w:rPr>
                <w:rFonts w:cs="Tahoma"/>
                <w:color w:val="000000" w:themeColor="text1"/>
                <w:sz w:val="20"/>
                <w:szCs w:val="20"/>
              </w:rPr>
            </w:pPr>
            <w:r w:rsidRPr="00B22E4C">
              <w:rPr>
                <w:rFonts w:cs="Tahoma"/>
                <w:color w:val="000000" w:themeColor="text1"/>
                <w:sz w:val="20"/>
                <w:szCs w:val="20"/>
              </w:rPr>
              <w:t>Difference in time was greater in patients who initiated the regimen within 24 hours after symptom onset</w:t>
            </w:r>
            <w:r w:rsidR="00DF6047" w:rsidRPr="00B22E4C">
              <w:rPr>
                <w:rFonts w:cs="Tahoma"/>
                <w:color w:val="000000" w:themeColor="text1"/>
                <w:sz w:val="20"/>
                <w:szCs w:val="20"/>
              </w:rPr>
              <w:t xml:space="preserve"> (median difference, 32.8 hours; P&lt;0.001) than those who initiated it later (median difference, 13.2 hours; P=0.008)</w:t>
            </w:r>
          </w:p>
          <w:p w14:paraId="7CDEA323" w14:textId="77777777" w:rsidR="00DF6047" w:rsidRPr="00B22E4C" w:rsidRDefault="00DF6047" w:rsidP="00200B80">
            <w:pPr>
              <w:pStyle w:val="ListParagraph"/>
              <w:numPr>
                <w:ilvl w:val="0"/>
                <w:numId w:val="21"/>
              </w:numPr>
              <w:spacing w:after="0" w:line="240" w:lineRule="auto"/>
              <w:rPr>
                <w:rFonts w:cs="Tahoma"/>
                <w:b/>
                <w:color w:val="000000" w:themeColor="text1"/>
                <w:sz w:val="20"/>
                <w:szCs w:val="20"/>
              </w:rPr>
            </w:pPr>
            <w:r w:rsidRPr="00B22E4C">
              <w:rPr>
                <w:rFonts w:cs="Tahoma"/>
                <w:b/>
                <w:color w:val="000000" w:themeColor="text1"/>
                <w:sz w:val="20"/>
                <w:szCs w:val="20"/>
              </w:rPr>
              <w:t>Secondary endpoints</w:t>
            </w:r>
            <w:r w:rsidR="00E6395D" w:rsidRPr="00B22E4C">
              <w:rPr>
                <w:rFonts w:cs="Tahoma"/>
                <w:b/>
                <w:color w:val="000000" w:themeColor="text1"/>
                <w:sz w:val="20"/>
                <w:szCs w:val="20"/>
              </w:rPr>
              <w:t xml:space="preserve"> </w:t>
            </w:r>
            <w:r w:rsidR="00E6395D" w:rsidRPr="00B22E4C">
              <w:rPr>
                <w:rFonts w:cs="Tahoma"/>
                <w:color w:val="000000" w:themeColor="text1"/>
                <w:sz w:val="20"/>
                <w:szCs w:val="20"/>
              </w:rPr>
              <w:t>(baloxavir vs. placebo)</w:t>
            </w:r>
          </w:p>
          <w:p w14:paraId="042577DF" w14:textId="77777777" w:rsidR="00DF6047" w:rsidRPr="00B22E4C" w:rsidRDefault="00DF6047" w:rsidP="00DF6047">
            <w:pPr>
              <w:pStyle w:val="ListParagraph"/>
              <w:numPr>
                <w:ilvl w:val="1"/>
                <w:numId w:val="21"/>
              </w:numPr>
              <w:spacing w:after="0" w:line="240" w:lineRule="auto"/>
              <w:rPr>
                <w:rFonts w:cs="Tahoma"/>
                <w:color w:val="000000" w:themeColor="text1"/>
                <w:sz w:val="20"/>
                <w:szCs w:val="20"/>
              </w:rPr>
            </w:pPr>
            <w:r w:rsidRPr="00B22E4C">
              <w:rPr>
                <w:rFonts w:cs="Tahoma"/>
                <w:color w:val="000000" w:themeColor="text1"/>
                <w:sz w:val="20"/>
                <w:szCs w:val="20"/>
              </w:rPr>
              <w:t>Median time to resolution of fever was shorter with baloxavir than with placebo (24.5 hours vs. 42.0 hours, P&lt;0.001)</w:t>
            </w:r>
          </w:p>
          <w:p w14:paraId="2C7446C2" w14:textId="77777777" w:rsidR="00DF6047" w:rsidRPr="00B22E4C" w:rsidRDefault="00DF6047" w:rsidP="00DF6047">
            <w:pPr>
              <w:pStyle w:val="ListParagraph"/>
              <w:numPr>
                <w:ilvl w:val="1"/>
                <w:numId w:val="21"/>
              </w:numPr>
              <w:spacing w:after="0" w:line="240" w:lineRule="auto"/>
              <w:rPr>
                <w:rFonts w:cs="Tahoma"/>
                <w:color w:val="000000" w:themeColor="text1"/>
                <w:sz w:val="20"/>
                <w:szCs w:val="20"/>
              </w:rPr>
            </w:pPr>
            <w:r w:rsidRPr="00B22E4C">
              <w:rPr>
                <w:rFonts w:cs="Tahoma"/>
                <w:color w:val="000000" w:themeColor="text1"/>
                <w:sz w:val="20"/>
                <w:szCs w:val="20"/>
              </w:rPr>
              <w:t>Median time to return to usual health was 129.2 hours in the baloxavir group and 168.8 hours in the placebo group (P=0.06)</w:t>
            </w:r>
          </w:p>
          <w:p w14:paraId="03CB426B" w14:textId="77777777" w:rsidR="00DF6047" w:rsidRPr="00B22E4C" w:rsidRDefault="00DF6047" w:rsidP="00DF6047">
            <w:pPr>
              <w:pStyle w:val="ListParagraph"/>
              <w:numPr>
                <w:ilvl w:val="1"/>
                <w:numId w:val="21"/>
              </w:numPr>
              <w:spacing w:after="0" w:line="240" w:lineRule="auto"/>
              <w:rPr>
                <w:rFonts w:cs="Tahoma"/>
                <w:color w:val="000000" w:themeColor="text1"/>
                <w:sz w:val="20"/>
                <w:szCs w:val="20"/>
              </w:rPr>
            </w:pPr>
            <w:r w:rsidRPr="00B22E4C">
              <w:rPr>
                <w:rFonts w:cs="Tahoma"/>
                <w:color w:val="000000" w:themeColor="text1"/>
                <w:sz w:val="20"/>
                <w:szCs w:val="20"/>
              </w:rPr>
              <w:t>The frequency of complications that resulted in antibiotic treatment was low (3.5% with baloxavir, 4.3% with placebo, and 2.4% with oseltamivir)</w:t>
            </w:r>
          </w:p>
          <w:p w14:paraId="27BFB05B" w14:textId="77777777" w:rsidR="00B87748" w:rsidRPr="00B22E4C" w:rsidRDefault="00B87748" w:rsidP="00200B80">
            <w:pPr>
              <w:pStyle w:val="ListParagraph"/>
              <w:numPr>
                <w:ilvl w:val="0"/>
                <w:numId w:val="21"/>
              </w:numPr>
              <w:spacing w:after="0" w:line="240" w:lineRule="auto"/>
              <w:rPr>
                <w:rFonts w:cs="Tahoma"/>
                <w:color w:val="000000" w:themeColor="text1"/>
                <w:sz w:val="20"/>
                <w:szCs w:val="20"/>
              </w:rPr>
            </w:pPr>
            <w:r w:rsidRPr="00B22E4C">
              <w:rPr>
                <w:rFonts w:cs="Tahoma"/>
                <w:b/>
                <w:color w:val="000000" w:themeColor="text1"/>
                <w:sz w:val="20"/>
                <w:szCs w:val="20"/>
              </w:rPr>
              <w:t>Viral endpoints</w:t>
            </w:r>
            <w:r w:rsidRPr="00B22E4C">
              <w:rPr>
                <w:rFonts w:cs="Tahoma"/>
                <w:color w:val="000000" w:themeColor="text1"/>
                <w:sz w:val="20"/>
                <w:szCs w:val="20"/>
              </w:rPr>
              <w:t>:</w:t>
            </w:r>
          </w:p>
          <w:p w14:paraId="7FDD5059" w14:textId="77777777" w:rsidR="00200B80" w:rsidRPr="00B22E4C" w:rsidRDefault="00200B80" w:rsidP="00B87748">
            <w:pPr>
              <w:pStyle w:val="ListParagraph"/>
              <w:numPr>
                <w:ilvl w:val="1"/>
                <w:numId w:val="21"/>
              </w:numPr>
              <w:spacing w:after="0" w:line="240" w:lineRule="auto"/>
              <w:ind w:left="720"/>
              <w:rPr>
                <w:rFonts w:cs="Tahoma"/>
                <w:color w:val="000000" w:themeColor="text1"/>
                <w:sz w:val="20"/>
                <w:szCs w:val="20"/>
              </w:rPr>
            </w:pPr>
            <w:r w:rsidRPr="00B22E4C">
              <w:rPr>
                <w:rFonts w:cs="Tahoma"/>
                <w:color w:val="000000" w:themeColor="text1"/>
                <w:sz w:val="20"/>
                <w:szCs w:val="20"/>
              </w:rPr>
              <w:lastRenderedPageBreak/>
              <w:t>Baloxavir was associated with significantly more rapid decline in infectious viral load, greater reduction in viral RNA loads, and shorter median duration of infectious virus detection than oseltamivir or placebo</w:t>
            </w:r>
          </w:p>
          <w:p w14:paraId="6860567F" w14:textId="77777777" w:rsidR="00200B80" w:rsidRPr="00B22E4C" w:rsidRDefault="00200B80" w:rsidP="00B87748">
            <w:pPr>
              <w:pStyle w:val="ListParagraph"/>
              <w:numPr>
                <w:ilvl w:val="1"/>
                <w:numId w:val="21"/>
              </w:numPr>
              <w:spacing w:after="0" w:line="240" w:lineRule="auto"/>
              <w:ind w:left="720"/>
              <w:rPr>
                <w:rFonts w:cs="Tahoma"/>
                <w:color w:val="000000" w:themeColor="text1"/>
                <w:sz w:val="20"/>
                <w:szCs w:val="20"/>
              </w:rPr>
            </w:pPr>
            <w:r w:rsidRPr="00B22E4C">
              <w:rPr>
                <w:rFonts w:cs="Tahoma"/>
                <w:color w:val="000000" w:themeColor="text1"/>
                <w:sz w:val="20"/>
                <w:szCs w:val="20"/>
              </w:rPr>
              <w:t>Amino acid substitutions: detected after initiation of the trial regimen in 9.7% of baloxavir recipients</w:t>
            </w:r>
          </w:p>
          <w:p w14:paraId="52E34331" w14:textId="77777777" w:rsidR="00200B80" w:rsidRPr="00B22E4C" w:rsidRDefault="00B87748" w:rsidP="00200B80">
            <w:pPr>
              <w:pStyle w:val="ListParagraph"/>
              <w:numPr>
                <w:ilvl w:val="0"/>
                <w:numId w:val="21"/>
              </w:numPr>
              <w:spacing w:after="0" w:line="240" w:lineRule="auto"/>
              <w:rPr>
                <w:rFonts w:cs="Tahoma"/>
                <w:color w:val="000000" w:themeColor="text1"/>
                <w:sz w:val="20"/>
                <w:szCs w:val="20"/>
              </w:rPr>
            </w:pPr>
            <w:r w:rsidRPr="00B22E4C">
              <w:rPr>
                <w:rFonts w:cs="Tahoma"/>
                <w:b/>
                <w:color w:val="000000" w:themeColor="text1"/>
                <w:sz w:val="20"/>
                <w:szCs w:val="20"/>
              </w:rPr>
              <w:t>Safety endpoints</w:t>
            </w:r>
            <w:r w:rsidRPr="00B22E4C">
              <w:rPr>
                <w:rFonts w:cs="Tahoma"/>
                <w:color w:val="000000" w:themeColor="text1"/>
                <w:sz w:val="20"/>
                <w:szCs w:val="20"/>
              </w:rPr>
              <w:t xml:space="preserve">: </w:t>
            </w:r>
            <w:r w:rsidR="00200B80" w:rsidRPr="00B22E4C">
              <w:rPr>
                <w:rFonts w:cs="Tahoma"/>
                <w:color w:val="000000" w:themeColor="text1"/>
                <w:sz w:val="20"/>
                <w:szCs w:val="20"/>
              </w:rPr>
              <w:t>Adverse events</w:t>
            </w:r>
          </w:p>
          <w:p w14:paraId="73958EB5" w14:textId="77777777" w:rsidR="00200B80" w:rsidRPr="00B22E4C" w:rsidRDefault="00200B80" w:rsidP="00200B80">
            <w:pPr>
              <w:pStyle w:val="ListParagraph"/>
              <w:numPr>
                <w:ilvl w:val="0"/>
                <w:numId w:val="23"/>
              </w:numPr>
              <w:spacing w:after="0" w:line="240" w:lineRule="auto"/>
              <w:rPr>
                <w:rFonts w:cs="Tahoma"/>
                <w:color w:val="000000" w:themeColor="text1"/>
                <w:sz w:val="20"/>
                <w:szCs w:val="20"/>
              </w:rPr>
            </w:pPr>
            <w:r w:rsidRPr="00B22E4C">
              <w:rPr>
                <w:rFonts w:cs="Tahoma"/>
                <w:color w:val="000000" w:themeColor="text1"/>
                <w:sz w:val="20"/>
                <w:szCs w:val="20"/>
              </w:rPr>
              <w:t>Reported in 20.7% of baloxavir recipients, 24.6% of placebo recipients, and 24.8% of oseltamivir recipients</w:t>
            </w:r>
          </w:p>
          <w:p w14:paraId="4B90A2C6" w14:textId="77777777" w:rsidR="00200B80" w:rsidRPr="00B22E4C" w:rsidRDefault="00200B80" w:rsidP="00200B80">
            <w:pPr>
              <w:pStyle w:val="ListParagraph"/>
              <w:numPr>
                <w:ilvl w:val="0"/>
                <w:numId w:val="23"/>
              </w:numPr>
              <w:spacing w:after="0" w:line="240" w:lineRule="auto"/>
              <w:rPr>
                <w:rFonts w:cs="Tahoma"/>
                <w:color w:val="000000" w:themeColor="text1"/>
                <w:sz w:val="20"/>
                <w:szCs w:val="20"/>
              </w:rPr>
            </w:pPr>
            <w:r w:rsidRPr="00B22E4C">
              <w:rPr>
                <w:rFonts w:cs="Tahoma"/>
                <w:color w:val="000000" w:themeColor="text1"/>
                <w:sz w:val="20"/>
                <w:szCs w:val="20"/>
              </w:rPr>
              <w:t>Adverse events associated with cessation of the trial regimen occurred in 0.3-0.4% of patients across the groups</w:t>
            </w:r>
          </w:p>
          <w:p w14:paraId="06C16ADD" w14:textId="77777777" w:rsidR="00200B80" w:rsidRPr="00B22E4C" w:rsidRDefault="00200B80" w:rsidP="00200B80">
            <w:pPr>
              <w:pStyle w:val="ListParagraph"/>
              <w:numPr>
                <w:ilvl w:val="0"/>
                <w:numId w:val="23"/>
              </w:numPr>
              <w:spacing w:after="0" w:line="240" w:lineRule="auto"/>
              <w:rPr>
                <w:rFonts w:cs="Tahoma"/>
                <w:color w:val="000000" w:themeColor="text1"/>
                <w:sz w:val="20"/>
                <w:szCs w:val="20"/>
              </w:rPr>
            </w:pPr>
            <w:r w:rsidRPr="00B22E4C">
              <w:rPr>
                <w:rFonts w:cs="Tahoma"/>
                <w:color w:val="000000" w:themeColor="text1"/>
                <w:sz w:val="20"/>
                <w:szCs w:val="20"/>
              </w:rPr>
              <w:t>Two serious adverse events occurred in baloxavir recipients (incarcerated inguinal hernia and aseptic meningitis) but neither considered to be related to trial regimen</w:t>
            </w:r>
          </w:p>
          <w:p w14:paraId="452D4719" w14:textId="77777777" w:rsidR="00200B80" w:rsidRPr="00B22E4C" w:rsidRDefault="00200B80" w:rsidP="00200B80">
            <w:pPr>
              <w:pStyle w:val="ListParagraph"/>
              <w:numPr>
                <w:ilvl w:val="0"/>
                <w:numId w:val="23"/>
              </w:numPr>
              <w:spacing w:after="0" w:line="240" w:lineRule="auto"/>
              <w:rPr>
                <w:rFonts w:cs="Tahoma"/>
                <w:color w:val="000000" w:themeColor="text1"/>
                <w:sz w:val="20"/>
                <w:szCs w:val="20"/>
              </w:rPr>
            </w:pPr>
            <w:r w:rsidRPr="00B22E4C">
              <w:rPr>
                <w:rFonts w:cs="Tahoma"/>
                <w:color w:val="000000" w:themeColor="text1"/>
                <w:sz w:val="20"/>
                <w:szCs w:val="20"/>
              </w:rPr>
              <w:t>No deaths occurred during the trial, but there was one hospitalization (in the oseltamivir group)</w:t>
            </w:r>
          </w:p>
        </w:tc>
      </w:tr>
    </w:tbl>
    <w:p w14:paraId="1E436076" w14:textId="77777777" w:rsidR="008B772B" w:rsidRPr="00B22E4C" w:rsidRDefault="008B772B" w:rsidP="008B772B">
      <w:pPr>
        <w:pStyle w:val="Default"/>
        <w:rPr>
          <w:rFonts w:asciiTheme="minorHAnsi" w:hAnsiTheme="minorHAnsi"/>
          <w:sz w:val="20"/>
          <w:szCs w:val="20"/>
        </w:rPr>
      </w:pPr>
    </w:p>
    <w:p w14:paraId="19D84425" w14:textId="77777777" w:rsidR="00687E6B" w:rsidRPr="00B22E4C" w:rsidRDefault="00042E5C">
      <w:pPr>
        <w:rPr>
          <w:rFonts w:asciiTheme="minorHAnsi" w:hAnsiTheme="minorHAnsi"/>
        </w:rPr>
      </w:pPr>
    </w:p>
    <w:sectPr w:rsidR="00687E6B" w:rsidRPr="00B22E4C" w:rsidSect="00DF6047">
      <w:pgSz w:w="12240" w:h="15840"/>
      <w:pgMar w:top="1440" w:right="432"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593C23" w14:textId="77777777" w:rsidR="00042E5C" w:rsidRDefault="00042E5C">
      <w:r>
        <w:separator/>
      </w:r>
    </w:p>
  </w:endnote>
  <w:endnote w:type="continuationSeparator" w:id="0">
    <w:p w14:paraId="21674456" w14:textId="77777777" w:rsidR="00042E5C" w:rsidRDefault="00042E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B551DA" w14:textId="77777777" w:rsidR="005A7310" w:rsidRPr="003E46BF" w:rsidRDefault="00042E5C" w:rsidP="00E11957">
    <w:pPr>
      <w:pStyle w:val="Footer"/>
      <w:ind w:right="360"/>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E287B7" w14:textId="77777777" w:rsidR="00042E5C" w:rsidRDefault="00042E5C">
      <w:r>
        <w:separator/>
      </w:r>
    </w:p>
  </w:footnote>
  <w:footnote w:type="continuationSeparator" w:id="0">
    <w:p w14:paraId="28326220" w14:textId="77777777" w:rsidR="00042E5C" w:rsidRDefault="00042E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433F1"/>
    <w:multiLevelType w:val="hybridMultilevel"/>
    <w:tmpl w:val="D53AC39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D51392"/>
    <w:multiLevelType w:val="hybridMultilevel"/>
    <w:tmpl w:val="DA28E756"/>
    <w:lvl w:ilvl="0" w:tplc="F55A465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471F2D"/>
    <w:multiLevelType w:val="hybridMultilevel"/>
    <w:tmpl w:val="1FDA51A0"/>
    <w:lvl w:ilvl="0" w:tplc="04090003">
      <w:start w:val="1"/>
      <w:numFmt w:val="bullet"/>
      <w:lvlText w:val="o"/>
      <w:lvlJc w:val="left"/>
      <w:pPr>
        <w:ind w:left="666"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AB294D"/>
    <w:multiLevelType w:val="hybridMultilevel"/>
    <w:tmpl w:val="59A23672"/>
    <w:lvl w:ilvl="0" w:tplc="04090003">
      <w:start w:val="1"/>
      <w:numFmt w:val="bullet"/>
      <w:lvlText w:val="o"/>
      <w:lvlJc w:val="left"/>
      <w:pPr>
        <w:ind w:left="720" w:hanging="360"/>
      </w:pPr>
      <w:rPr>
        <w:rFonts w:ascii="Courier New" w:hAnsi="Courier New" w:cs="Courier New" w:hint="default"/>
        <w:color w:val="000000" w:themeColor="tex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4F07126"/>
    <w:multiLevelType w:val="hybridMultilevel"/>
    <w:tmpl w:val="ECDA23BE"/>
    <w:lvl w:ilvl="0" w:tplc="75604948">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9004654"/>
    <w:multiLevelType w:val="hybridMultilevel"/>
    <w:tmpl w:val="6F8A8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FF5F19"/>
    <w:multiLevelType w:val="hybridMultilevel"/>
    <w:tmpl w:val="07BE3EC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FA11505"/>
    <w:multiLevelType w:val="hybridMultilevel"/>
    <w:tmpl w:val="31B44024"/>
    <w:lvl w:ilvl="0" w:tplc="F1BEB5DA">
      <w:start w:val="1"/>
      <w:numFmt w:val="bullet"/>
      <w:lvlText w:val=""/>
      <w:lvlJc w:val="left"/>
      <w:pPr>
        <w:ind w:left="36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B562B9"/>
    <w:multiLevelType w:val="hybridMultilevel"/>
    <w:tmpl w:val="1D6E4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DB4A6F"/>
    <w:multiLevelType w:val="hybridMultilevel"/>
    <w:tmpl w:val="82103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4214B5"/>
    <w:multiLevelType w:val="hybridMultilevel"/>
    <w:tmpl w:val="9A7AAFE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5E02DC4"/>
    <w:multiLevelType w:val="hybridMultilevel"/>
    <w:tmpl w:val="65306B60"/>
    <w:lvl w:ilvl="0" w:tplc="8B722B82">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E26567"/>
    <w:multiLevelType w:val="hybridMultilevel"/>
    <w:tmpl w:val="C294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954B63"/>
    <w:multiLevelType w:val="hybridMultilevel"/>
    <w:tmpl w:val="912A5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232DB0"/>
    <w:multiLevelType w:val="hybridMultilevel"/>
    <w:tmpl w:val="C0C26B96"/>
    <w:lvl w:ilvl="0" w:tplc="F30E0654">
      <w:start w:val="1"/>
      <w:numFmt w:val="bullet"/>
      <w:lvlText w:val="o"/>
      <w:lvlJc w:val="left"/>
      <w:pPr>
        <w:ind w:left="720" w:hanging="360"/>
      </w:pPr>
      <w:rPr>
        <w:rFonts w:ascii="Courier New" w:hAnsi="Courier New" w:cs="Courier New"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0F0865"/>
    <w:multiLevelType w:val="hybridMultilevel"/>
    <w:tmpl w:val="2AC0809E"/>
    <w:lvl w:ilvl="0" w:tplc="F55A4650">
      <w:start w:val="1"/>
      <w:numFmt w:val="bullet"/>
      <w:lvlText w:val=""/>
      <w:lvlJc w:val="left"/>
      <w:pPr>
        <w:ind w:left="360" w:hanging="360"/>
      </w:pPr>
      <w:rPr>
        <w:rFonts w:ascii="Symbol" w:hAnsi="Symbol" w:hint="default"/>
        <w:color w:val="000000" w:themeColor="text1"/>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DDC7460"/>
    <w:multiLevelType w:val="hybridMultilevel"/>
    <w:tmpl w:val="9D68311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E510E8"/>
    <w:multiLevelType w:val="hybridMultilevel"/>
    <w:tmpl w:val="8C5C2D02"/>
    <w:lvl w:ilvl="0" w:tplc="0924206A">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3E5234"/>
    <w:multiLevelType w:val="hybridMultilevel"/>
    <w:tmpl w:val="6B6C9B12"/>
    <w:lvl w:ilvl="0" w:tplc="04090001">
      <w:start w:val="1"/>
      <w:numFmt w:val="bullet"/>
      <w:lvlText w:val=""/>
      <w:lvlJc w:val="left"/>
      <w:pPr>
        <w:ind w:left="360" w:hanging="360"/>
      </w:pPr>
      <w:rPr>
        <w:rFonts w:ascii="Symbol" w:hAnsi="Symbol" w:hint="default"/>
      </w:rPr>
    </w:lvl>
    <w:lvl w:ilvl="1" w:tplc="D41EFD46">
      <w:numFmt w:val="bullet"/>
      <w:lvlText w:val="•"/>
      <w:lvlJc w:val="left"/>
      <w:pPr>
        <w:ind w:left="1080" w:hanging="360"/>
      </w:pPr>
      <w:rPr>
        <w:rFonts w:ascii="Calibri" w:eastAsiaTheme="minorHAnsi" w:hAnsi="Calibri" w:cstheme="minorBid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1214AB8"/>
    <w:multiLevelType w:val="hybridMultilevel"/>
    <w:tmpl w:val="4E0C9D26"/>
    <w:lvl w:ilvl="0" w:tplc="04090003">
      <w:start w:val="1"/>
      <w:numFmt w:val="bullet"/>
      <w:lvlText w:val="o"/>
      <w:lvlJc w:val="left"/>
      <w:pPr>
        <w:ind w:left="720" w:hanging="360"/>
      </w:pPr>
      <w:rPr>
        <w:rFonts w:ascii="Courier New" w:hAnsi="Courier New" w:cs="Courier New"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071226"/>
    <w:multiLevelType w:val="hybridMultilevel"/>
    <w:tmpl w:val="FCEEF8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D72CEF"/>
    <w:multiLevelType w:val="hybridMultilevel"/>
    <w:tmpl w:val="1E1C5FC6"/>
    <w:lvl w:ilvl="0" w:tplc="9114564A">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7000CB"/>
    <w:multiLevelType w:val="hybridMultilevel"/>
    <w:tmpl w:val="15A6E4D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3145F8"/>
    <w:multiLevelType w:val="hybridMultilevel"/>
    <w:tmpl w:val="0AE8E73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3B40C7"/>
    <w:multiLevelType w:val="hybridMultilevel"/>
    <w:tmpl w:val="8F02A832"/>
    <w:lvl w:ilvl="0" w:tplc="04090003">
      <w:start w:val="1"/>
      <w:numFmt w:val="bullet"/>
      <w:lvlText w:val="o"/>
      <w:lvlJc w:val="left"/>
      <w:pPr>
        <w:ind w:left="720" w:hanging="360"/>
      </w:pPr>
      <w:rPr>
        <w:rFonts w:ascii="Courier New" w:hAnsi="Courier New" w:cs="Courier New"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5D5249"/>
    <w:multiLevelType w:val="hybridMultilevel"/>
    <w:tmpl w:val="ECA29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6F05CF"/>
    <w:multiLevelType w:val="hybridMultilevel"/>
    <w:tmpl w:val="18F01514"/>
    <w:lvl w:ilvl="0" w:tplc="32426952">
      <w:start w:val="1"/>
      <w:numFmt w:val="bullet"/>
      <w:lvlText w:val=""/>
      <w:lvlJc w:val="left"/>
      <w:pPr>
        <w:ind w:left="720" w:hanging="360"/>
      </w:pPr>
      <w:rPr>
        <w:rFonts w:ascii="Symbol" w:hAnsi="Symbol" w:hint="default"/>
        <w:color w:val="000000" w:themeColor="text1"/>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B87512"/>
    <w:multiLevelType w:val="hybridMultilevel"/>
    <w:tmpl w:val="1DB64B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99C73A9"/>
    <w:multiLevelType w:val="hybridMultilevel"/>
    <w:tmpl w:val="80629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0338E6"/>
    <w:multiLevelType w:val="hybridMultilevel"/>
    <w:tmpl w:val="D24064F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9C201A"/>
    <w:multiLevelType w:val="hybridMultilevel"/>
    <w:tmpl w:val="84CABCE6"/>
    <w:lvl w:ilvl="0" w:tplc="6A443AAA">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443225D"/>
    <w:multiLevelType w:val="hybridMultilevel"/>
    <w:tmpl w:val="1D8E543E"/>
    <w:lvl w:ilvl="0" w:tplc="75604948">
      <w:start w:val="1"/>
      <w:numFmt w:val="bullet"/>
      <w:lvlText w:val=""/>
      <w:lvlJc w:val="left"/>
      <w:pPr>
        <w:ind w:left="36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A272F4B"/>
    <w:multiLevelType w:val="hybridMultilevel"/>
    <w:tmpl w:val="28E679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BC0DA7"/>
    <w:multiLevelType w:val="hybridMultilevel"/>
    <w:tmpl w:val="B50875C6"/>
    <w:lvl w:ilvl="0" w:tplc="75604948">
      <w:start w:val="1"/>
      <w:numFmt w:val="bullet"/>
      <w:lvlText w:val=""/>
      <w:lvlJc w:val="left"/>
      <w:pPr>
        <w:ind w:left="360" w:hanging="360"/>
      </w:pPr>
      <w:rPr>
        <w:rFonts w:ascii="Symbol" w:hAnsi="Symbol" w:hint="default"/>
        <w:color w:val="000000" w:themeColor="text1"/>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B2D674F"/>
    <w:multiLevelType w:val="hybridMultilevel"/>
    <w:tmpl w:val="3DA2E2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FFF4690"/>
    <w:multiLevelType w:val="hybridMultilevel"/>
    <w:tmpl w:val="9D901A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1E7539"/>
    <w:multiLevelType w:val="hybridMultilevel"/>
    <w:tmpl w:val="B0288A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8691BAB"/>
    <w:multiLevelType w:val="hybridMultilevel"/>
    <w:tmpl w:val="3AFA1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DC42DC1"/>
    <w:multiLevelType w:val="hybridMultilevel"/>
    <w:tmpl w:val="C88408CE"/>
    <w:lvl w:ilvl="0" w:tplc="3D741DBC">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17"/>
  </w:num>
  <w:num w:numId="3">
    <w:abstractNumId w:val="26"/>
  </w:num>
  <w:num w:numId="4">
    <w:abstractNumId w:val="19"/>
  </w:num>
  <w:num w:numId="5">
    <w:abstractNumId w:val="18"/>
  </w:num>
  <w:num w:numId="6">
    <w:abstractNumId w:val="4"/>
  </w:num>
  <w:num w:numId="7">
    <w:abstractNumId w:val="35"/>
  </w:num>
  <w:num w:numId="8">
    <w:abstractNumId w:val="22"/>
  </w:num>
  <w:num w:numId="9">
    <w:abstractNumId w:val="29"/>
  </w:num>
  <w:num w:numId="10">
    <w:abstractNumId w:val="14"/>
  </w:num>
  <w:num w:numId="11">
    <w:abstractNumId w:val="0"/>
  </w:num>
  <w:num w:numId="12">
    <w:abstractNumId w:val="15"/>
  </w:num>
  <w:num w:numId="13">
    <w:abstractNumId w:val="11"/>
  </w:num>
  <w:num w:numId="14">
    <w:abstractNumId w:val="30"/>
  </w:num>
  <w:num w:numId="15">
    <w:abstractNumId w:val="7"/>
  </w:num>
  <w:num w:numId="16">
    <w:abstractNumId w:val="21"/>
  </w:num>
  <w:num w:numId="17">
    <w:abstractNumId w:val="2"/>
  </w:num>
  <w:num w:numId="18">
    <w:abstractNumId w:val="32"/>
  </w:num>
  <w:num w:numId="19">
    <w:abstractNumId w:val="31"/>
  </w:num>
  <w:num w:numId="20">
    <w:abstractNumId w:val="3"/>
  </w:num>
  <w:num w:numId="21">
    <w:abstractNumId w:val="33"/>
  </w:num>
  <w:num w:numId="22">
    <w:abstractNumId w:val="24"/>
  </w:num>
  <w:num w:numId="23">
    <w:abstractNumId w:val="16"/>
  </w:num>
  <w:num w:numId="24">
    <w:abstractNumId w:val="38"/>
  </w:num>
  <w:num w:numId="25">
    <w:abstractNumId w:val="23"/>
  </w:num>
  <w:num w:numId="26">
    <w:abstractNumId w:val="1"/>
  </w:num>
  <w:num w:numId="27">
    <w:abstractNumId w:val="36"/>
  </w:num>
  <w:num w:numId="28">
    <w:abstractNumId w:val="27"/>
  </w:num>
  <w:num w:numId="29">
    <w:abstractNumId w:val="8"/>
  </w:num>
  <w:num w:numId="30">
    <w:abstractNumId w:val="13"/>
  </w:num>
  <w:num w:numId="31">
    <w:abstractNumId w:val="12"/>
  </w:num>
  <w:num w:numId="32">
    <w:abstractNumId w:val="28"/>
  </w:num>
  <w:num w:numId="33">
    <w:abstractNumId w:val="25"/>
  </w:num>
  <w:num w:numId="34">
    <w:abstractNumId w:val="20"/>
  </w:num>
  <w:num w:numId="35">
    <w:abstractNumId w:val="34"/>
  </w:num>
  <w:num w:numId="36">
    <w:abstractNumId w:val="6"/>
  </w:num>
  <w:num w:numId="37">
    <w:abstractNumId w:val="37"/>
  </w:num>
  <w:num w:numId="38">
    <w:abstractNumId w:val="9"/>
  </w:num>
  <w:num w:numId="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72B"/>
    <w:rsid w:val="00005E89"/>
    <w:rsid w:val="000172A6"/>
    <w:rsid w:val="00042E5C"/>
    <w:rsid w:val="0005068F"/>
    <w:rsid w:val="000915D3"/>
    <w:rsid w:val="000A2408"/>
    <w:rsid w:val="000F352C"/>
    <w:rsid w:val="00104BFA"/>
    <w:rsid w:val="00122917"/>
    <w:rsid w:val="00153B02"/>
    <w:rsid w:val="00172F7D"/>
    <w:rsid w:val="001B6387"/>
    <w:rsid w:val="00200B80"/>
    <w:rsid w:val="002056C3"/>
    <w:rsid w:val="00221B82"/>
    <w:rsid w:val="00250B8A"/>
    <w:rsid w:val="0027441C"/>
    <w:rsid w:val="002A0F79"/>
    <w:rsid w:val="002A2310"/>
    <w:rsid w:val="002B2A4E"/>
    <w:rsid w:val="003253C1"/>
    <w:rsid w:val="00372C58"/>
    <w:rsid w:val="0039553C"/>
    <w:rsid w:val="003D2F75"/>
    <w:rsid w:val="00402745"/>
    <w:rsid w:val="00434CE8"/>
    <w:rsid w:val="00444CED"/>
    <w:rsid w:val="004A0576"/>
    <w:rsid w:val="004A6C10"/>
    <w:rsid w:val="004C0E0C"/>
    <w:rsid w:val="004E766C"/>
    <w:rsid w:val="005156DC"/>
    <w:rsid w:val="0052444B"/>
    <w:rsid w:val="0055125C"/>
    <w:rsid w:val="00597AC4"/>
    <w:rsid w:val="00637D2B"/>
    <w:rsid w:val="0069418A"/>
    <w:rsid w:val="006A5ECC"/>
    <w:rsid w:val="006C3FAE"/>
    <w:rsid w:val="00716328"/>
    <w:rsid w:val="007815AA"/>
    <w:rsid w:val="007B59D3"/>
    <w:rsid w:val="007E6BB6"/>
    <w:rsid w:val="00815695"/>
    <w:rsid w:val="0086480B"/>
    <w:rsid w:val="0087328F"/>
    <w:rsid w:val="008A1B03"/>
    <w:rsid w:val="008A47F6"/>
    <w:rsid w:val="008B772B"/>
    <w:rsid w:val="008F5615"/>
    <w:rsid w:val="009079C9"/>
    <w:rsid w:val="00917FB1"/>
    <w:rsid w:val="009474C9"/>
    <w:rsid w:val="00955496"/>
    <w:rsid w:val="0097743E"/>
    <w:rsid w:val="0098653F"/>
    <w:rsid w:val="00992C84"/>
    <w:rsid w:val="009B51B5"/>
    <w:rsid w:val="009C6405"/>
    <w:rsid w:val="009D57E1"/>
    <w:rsid w:val="009F59DC"/>
    <w:rsid w:val="00A12495"/>
    <w:rsid w:val="00A4749E"/>
    <w:rsid w:val="00A530D7"/>
    <w:rsid w:val="00A935D7"/>
    <w:rsid w:val="00AB070E"/>
    <w:rsid w:val="00AC4F39"/>
    <w:rsid w:val="00AF626A"/>
    <w:rsid w:val="00B00192"/>
    <w:rsid w:val="00B13B37"/>
    <w:rsid w:val="00B22A70"/>
    <w:rsid w:val="00B22E4C"/>
    <w:rsid w:val="00B600A1"/>
    <w:rsid w:val="00B70E0E"/>
    <w:rsid w:val="00B87748"/>
    <w:rsid w:val="00BB3CDE"/>
    <w:rsid w:val="00BC34CC"/>
    <w:rsid w:val="00C0297D"/>
    <w:rsid w:val="00C13A49"/>
    <w:rsid w:val="00C34724"/>
    <w:rsid w:val="00C432D7"/>
    <w:rsid w:val="00C7508D"/>
    <w:rsid w:val="00C9470C"/>
    <w:rsid w:val="00CC7A42"/>
    <w:rsid w:val="00CF79D9"/>
    <w:rsid w:val="00D0194C"/>
    <w:rsid w:val="00DB638F"/>
    <w:rsid w:val="00DD3CAB"/>
    <w:rsid w:val="00DD694D"/>
    <w:rsid w:val="00DE0F54"/>
    <w:rsid w:val="00DF3517"/>
    <w:rsid w:val="00DF6047"/>
    <w:rsid w:val="00E04CB3"/>
    <w:rsid w:val="00E32E76"/>
    <w:rsid w:val="00E50918"/>
    <w:rsid w:val="00E6395D"/>
    <w:rsid w:val="00E96222"/>
    <w:rsid w:val="00EA0578"/>
    <w:rsid w:val="00EA3F1C"/>
    <w:rsid w:val="00EC41E9"/>
    <w:rsid w:val="00EF28B5"/>
    <w:rsid w:val="00EF2AE4"/>
    <w:rsid w:val="00F7656A"/>
    <w:rsid w:val="00F82BF6"/>
    <w:rsid w:val="00FA0252"/>
    <w:rsid w:val="00FB13EE"/>
    <w:rsid w:val="00FF50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37135"/>
  <w15:chartTrackingRefBased/>
  <w15:docId w15:val="{FFCD7F37-FEFD-4B88-8B90-E9500A0B8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772B"/>
    <w:pPr>
      <w:spacing w:after="0"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B772B"/>
    <w:pPr>
      <w:spacing w:after="0" w:line="240" w:lineRule="auto"/>
    </w:pPr>
    <w:rPr>
      <w:rFonts w:ascii="Cambria" w:eastAsia="Cambria" w:hAnsi="Cambria"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er">
    <w:name w:val="footer"/>
    <w:basedOn w:val="Normal"/>
    <w:link w:val="FooterChar"/>
    <w:uiPriority w:val="99"/>
    <w:rsid w:val="008B772B"/>
    <w:pPr>
      <w:tabs>
        <w:tab w:val="center" w:pos="4320"/>
        <w:tab w:val="right" w:pos="8640"/>
      </w:tabs>
    </w:pPr>
  </w:style>
  <w:style w:type="character" w:customStyle="1" w:styleId="FooterChar">
    <w:name w:val="Footer Char"/>
    <w:basedOn w:val="DefaultParagraphFont"/>
    <w:link w:val="Footer"/>
    <w:uiPriority w:val="99"/>
    <w:rsid w:val="008B772B"/>
    <w:rPr>
      <w:rFonts w:ascii="Cambria" w:eastAsia="Cambria" w:hAnsi="Cambria" w:cs="Times New Roman"/>
      <w:sz w:val="24"/>
      <w:szCs w:val="24"/>
    </w:rPr>
  </w:style>
  <w:style w:type="table" w:customStyle="1" w:styleId="TableGrid1">
    <w:name w:val="Table Grid1"/>
    <w:basedOn w:val="TableNormal"/>
    <w:next w:val="TableGrid"/>
    <w:rsid w:val="008B772B"/>
    <w:pPr>
      <w:spacing w:after="0" w:line="240" w:lineRule="auto"/>
    </w:pPr>
    <w:rPr>
      <w:rFonts w:ascii="Cambria" w:eastAsia="Cambria" w:hAnsi="Cambria"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8B772B"/>
    <w:pPr>
      <w:spacing w:after="200" w:line="276" w:lineRule="auto"/>
      <w:ind w:left="720"/>
      <w:contextualSpacing/>
    </w:pPr>
    <w:rPr>
      <w:rFonts w:asciiTheme="minorHAnsi" w:eastAsiaTheme="minorHAnsi" w:hAnsiTheme="minorHAnsi" w:cstheme="minorBidi"/>
      <w:sz w:val="22"/>
      <w:szCs w:val="22"/>
    </w:rPr>
  </w:style>
  <w:style w:type="paragraph" w:customStyle="1" w:styleId="Default">
    <w:name w:val="Default"/>
    <w:rsid w:val="008B772B"/>
    <w:pPr>
      <w:autoSpaceDE w:val="0"/>
      <w:autoSpaceDN w:val="0"/>
      <w:adjustRightInd w:val="0"/>
      <w:spacing w:after="0" w:line="240" w:lineRule="auto"/>
    </w:pPr>
    <w:rPr>
      <w:rFonts w:ascii="Arial" w:eastAsia="Cambria" w:hAnsi="Arial" w:cs="Arial"/>
      <w:color w:val="000000"/>
      <w:sz w:val="24"/>
      <w:szCs w:val="24"/>
    </w:rPr>
  </w:style>
  <w:style w:type="table" w:customStyle="1" w:styleId="TableGrid2">
    <w:name w:val="Table Grid2"/>
    <w:basedOn w:val="TableNormal"/>
    <w:next w:val="TableGrid"/>
    <w:uiPriority w:val="59"/>
    <w:rsid w:val="008B77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200B80"/>
    <w:rPr>
      <w:rFonts w:ascii="Tahoma" w:eastAsia="Times New Roman" w:hAnsi="Tahoma" w:cs="Tahoma"/>
      <w:sz w:val="16"/>
      <w:szCs w:val="16"/>
    </w:rPr>
  </w:style>
  <w:style w:type="character" w:customStyle="1" w:styleId="BalloonTextChar">
    <w:name w:val="Balloon Text Char"/>
    <w:basedOn w:val="DefaultParagraphFont"/>
    <w:link w:val="BalloonText"/>
    <w:rsid w:val="00200B80"/>
    <w:rPr>
      <w:rFonts w:ascii="Tahoma" w:eastAsia="Times New Roman" w:hAnsi="Tahoma" w:cs="Tahoma"/>
      <w:sz w:val="16"/>
      <w:szCs w:val="16"/>
    </w:rPr>
  </w:style>
  <w:style w:type="character" w:styleId="PlaceholderText">
    <w:name w:val="Placeholder Text"/>
    <w:basedOn w:val="DefaultParagraphFont"/>
    <w:uiPriority w:val="99"/>
    <w:semiHidden/>
    <w:rsid w:val="00F7656A"/>
    <w:rPr>
      <w:color w:val="808080"/>
    </w:rPr>
  </w:style>
  <w:style w:type="paragraph" w:styleId="Header">
    <w:name w:val="header"/>
    <w:basedOn w:val="Normal"/>
    <w:link w:val="HeaderChar"/>
    <w:uiPriority w:val="99"/>
    <w:unhideWhenUsed/>
    <w:rsid w:val="00C34724"/>
    <w:pPr>
      <w:tabs>
        <w:tab w:val="center" w:pos="4680"/>
        <w:tab w:val="right" w:pos="9360"/>
      </w:tabs>
    </w:pPr>
  </w:style>
  <w:style w:type="character" w:customStyle="1" w:styleId="HeaderChar">
    <w:name w:val="Header Char"/>
    <w:basedOn w:val="DefaultParagraphFont"/>
    <w:link w:val="Header"/>
    <w:uiPriority w:val="99"/>
    <w:rsid w:val="00C34724"/>
    <w:rPr>
      <w:rFonts w:ascii="Cambria" w:eastAsia="Cambria" w:hAnsi="Cambria" w:cs="Times New Roman"/>
      <w:sz w:val="24"/>
      <w:szCs w:val="24"/>
    </w:rPr>
  </w:style>
  <w:style w:type="character" w:styleId="CommentReference">
    <w:name w:val="annotation reference"/>
    <w:basedOn w:val="DefaultParagraphFont"/>
    <w:uiPriority w:val="99"/>
    <w:semiHidden/>
    <w:unhideWhenUsed/>
    <w:rsid w:val="00C13A49"/>
    <w:rPr>
      <w:sz w:val="16"/>
      <w:szCs w:val="16"/>
    </w:rPr>
  </w:style>
  <w:style w:type="paragraph" w:styleId="CommentText">
    <w:name w:val="annotation text"/>
    <w:basedOn w:val="Normal"/>
    <w:link w:val="CommentTextChar"/>
    <w:uiPriority w:val="99"/>
    <w:semiHidden/>
    <w:unhideWhenUsed/>
    <w:rsid w:val="00C13A49"/>
    <w:rPr>
      <w:sz w:val="20"/>
      <w:szCs w:val="20"/>
    </w:rPr>
  </w:style>
  <w:style w:type="character" w:customStyle="1" w:styleId="CommentTextChar">
    <w:name w:val="Comment Text Char"/>
    <w:basedOn w:val="DefaultParagraphFont"/>
    <w:link w:val="CommentText"/>
    <w:uiPriority w:val="99"/>
    <w:semiHidden/>
    <w:rsid w:val="00C13A49"/>
    <w:rPr>
      <w:rFonts w:ascii="Cambria" w:eastAsia="Cambria" w:hAnsi="Cambria" w:cs="Times New Roman"/>
      <w:sz w:val="20"/>
      <w:szCs w:val="20"/>
    </w:rPr>
  </w:style>
  <w:style w:type="paragraph" w:styleId="CommentSubject">
    <w:name w:val="annotation subject"/>
    <w:basedOn w:val="CommentText"/>
    <w:next w:val="CommentText"/>
    <w:link w:val="CommentSubjectChar"/>
    <w:uiPriority w:val="99"/>
    <w:semiHidden/>
    <w:unhideWhenUsed/>
    <w:rsid w:val="00C13A49"/>
    <w:rPr>
      <w:b/>
      <w:bCs/>
    </w:rPr>
  </w:style>
  <w:style w:type="character" w:customStyle="1" w:styleId="CommentSubjectChar">
    <w:name w:val="Comment Subject Char"/>
    <w:basedOn w:val="CommentTextChar"/>
    <w:link w:val="CommentSubject"/>
    <w:uiPriority w:val="99"/>
    <w:semiHidden/>
    <w:rsid w:val="00C13A49"/>
    <w:rPr>
      <w:rFonts w:ascii="Cambria" w:eastAsia="Cambria" w:hAnsi="Cambria"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DEF07D745BF9418405BE3EA82B9A7A" ma:contentTypeVersion="1" ma:contentTypeDescription="Create a new document." ma:contentTypeScope="" ma:versionID="e6bc6d9bc31e04ea129a5b053b17ceb0">
  <xsd:schema xmlns:xsd="http://www.w3.org/2001/XMLSchema" xmlns:xs="http://www.w3.org/2001/XMLSchema" xmlns:p="http://schemas.microsoft.com/office/2006/metadata/properties" xmlns:ns2="a65af7f2-7716-49ea-8bdc-6cb8004f1917" targetNamespace="http://schemas.microsoft.com/office/2006/metadata/properties" ma:root="true" ma:fieldsID="ed3d42bd3075bf069ee1ae246e8e5236" ns2:_="">
    <xsd:import namespace="a65af7f2-7716-49ea-8bdc-6cb8004f191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5af7f2-7716-49ea-8bdc-6cb8004f191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050A73C-8C66-485C-B9CE-9893A126336D}"/>
</file>

<file path=customXml/itemProps2.xml><?xml version="1.0" encoding="utf-8"?>
<ds:datastoreItem xmlns:ds="http://schemas.openxmlformats.org/officeDocument/2006/customXml" ds:itemID="{84B98B68-AA4F-4C36-A132-941569EC3943}"/>
</file>

<file path=customXml/itemProps3.xml><?xml version="1.0" encoding="utf-8"?>
<ds:datastoreItem xmlns:ds="http://schemas.openxmlformats.org/officeDocument/2006/customXml" ds:itemID="{2F20CCD3-F248-4E4F-944D-1E2F40C99721}"/>
</file>

<file path=docProps/app.xml><?xml version="1.0" encoding="utf-8"?>
<Properties xmlns="http://schemas.openxmlformats.org/officeDocument/2006/extended-properties" xmlns:vt="http://schemas.openxmlformats.org/officeDocument/2006/docPropsVTypes">
  <Template>Normal.dotm</Template>
  <TotalTime>1</TotalTime>
  <Pages>7</Pages>
  <Words>2621</Words>
  <Characters>14942</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University of Michigan Health System</Company>
  <LinksUpToDate>false</LinksUpToDate>
  <CharactersWithSpaces>17528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 Alison</dc:creator>
  <cp:keywords/>
  <dc:description/>
  <cp:lastModifiedBy>Lew, Alison</cp:lastModifiedBy>
  <cp:revision>2</cp:revision>
  <dcterms:created xsi:type="dcterms:W3CDTF">2019-01-25T20:19:00Z</dcterms:created>
  <dcterms:modified xsi:type="dcterms:W3CDTF">2019-01-25T20:19:00Z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0x01010029DEF07D745BF9418405BE3EA82B9A7A</vt:lpwstr>
  </property>
</Properties>
</file>